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14" w:rsidRPr="00EB46B4" w:rsidRDefault="004B3914" w:rsidP="0021245D">
      <w:pPr>
        <w:spacing w:line="360" w:lineRule="auto"/>
        <w:ind w:left="567" w:right="851" w:firstLine="709"/>
        <w:jc w:val="center"/>
        <w:rPr>
          <w:b/>
          <w:sz w:val="24"/>
          <w:szCs w:val="24"/>
          <w:u w:val="single"/>
        </w:rPr>
      </w:pPr>
      <w:r w:rsidRPr="00EB46B4">
        <w:rPr>
          <w:b/>
          <w:sz w:val="24"/>
          <w:szCs w:val="24"/>
          <w:u w:val="single"/>
        </w:rPr>
        <w:t>Codice L.E.I. ed enti ecclesiastici</w:t>
      </w:r>
    </w:p>
    <w:p w:rsidR="0021245D" w:rsidRDefault="004B3914" w:rsidP="0021245D">
      <w:pPr>
        <w:spacing w:line="360" w:lineRule="auto"/>
        <w:ind w:left="567" w:right="851" w:firstLine="709"/>
        <w:jc w:val="both"/>
        <w:rPr>
          <w:sz w:val="24"/>
          <w:szCs w:val="24"/>
        </w:rPr>
      </w:pPr>
      <w:r w:rsidRPr="00EB46B4">
        <w:rPr>
          <w:sz w:val="24"/>
          <w:szCs w:val="24"/>
        </w:rPr>
        <w:t>Una recente normativa dell’Unione europea, introdotta con fonte secondaria,  merita di essere segnalata in quanto, nonostante il carattere settoriale, potrebbe interessare anche l’attività degli enti ecclesiastici o almeno di una parte di essi.</w:t>
      </w:r>
    </w:p>
    <w:p w:rsidR="0021245D" w:rsidRDefault="004B3914" w:rsidP="0021245D">
      <w:pPr>
        <w:spacing w:line="360" w:lineRule="auto"/>
        <w:ind w:left="567" w:right="851" w:firstLine="709"/>
        <w:jc w:val="both"/>
        <w:rPr>
          <w:bCs/>
          <w:sz w:val="24"/>
          <w:szCs w:val="24"/>
        </w:rPr>
      </w:pPr>
      <w:r w:rsidRPr="00EB46B4">
        <w:rPr>
          <w:sz w:val="24"/>
          <w:szCs w:val="24"/>
        </w:rPr>
        <w:t xml:space="preserve"> Infatti, con l'entrata in vigore di Mifid II (</w:t>
      </w:r>
      <w:hyperlink r:id="rId9" w:tgtFrame="_blank" w:history="1">
        <w:r w:rsidRPr="00EB46B4">
          <w:rPr>
            <w:rStyle w:val="Collegamentoipertestuale"/>
            <w:color w:val="auto"/>
            <w:sz w:val="24"/>
            <w:szCs w:val="24"/>
            <w:u w:val="none"/>
          </w:rPr>
          <w:t>Direttiva 2014/65/UE, aggiorna</w:t>
        </w:r>
        <w:r w:rsidR="002012B6">
          <w:rPr>
            <w:rStyle w:val="Collegamentoipertestuale"/>
            <w:color w:val="auto"/>
            <w:sz w:val="24"/>
            <w:szCs w:val="24"/>
            <w:u w:val="none"/>
          </w:rPr>
          <w:t>ta dalla Direttiva n. 2016/1034</w:t>
        </w:r>
        <w:r w:rsidRPr="002012B6">
          <w:rPr>
            <w:rStyle w:val="Collegamentoipertestuale"/>
            <w:color w:val="auto"/>
            <w:sz w:val="24"/>
            <w:szCs w:val="24"/>
            <w:u w:val="none"/>
          </w:rPr>
          <w:t>)</w:t>
        </w:r>
      </w:hyperlink>
      <w:r w:rsidRPr="00EB46B4">
        <w:rPr>
          <w:sz w:val="24"/>
          <w:szCs w:val="24"/>
        </w:rPr>
        <w:t xml:space="preserve"> e MIFIR (</w:t>
      </w:r>
      <w:r w:rsidRPr="00EB46B4">
        <w:rPr>
          <w:bCs/>
          <w:sz w:val="24"/>
          <w:szCs w:val="24"/>
        </w:rPr>
        <w:t>Regolamento europeo n. 600/2014</w:t>
      </w:r>
      <w:r w:rsidR="00D33CE7">
        <w:rPr>
          <w:sz w:val="24"/>
          <w:szCs w:val="24"/>
        </w:rPr>
        <w:t>), a partire dal mese di g</w:t>
      </w:r>
      <w:r w:rsidRPr="00EB46B4">
        <w:rPr>
          <w:sz w:val="24"/>
          <w:szCs w:val="24"/>
        </w:rPr>
        <w:t>ennaio 2018 “Le imprese di i</w:t>
      </w:r>
      <w:bookmarkStart w:id="0" w:name="_GoBack"/>
      <w:bookmarkEnd w:id="0"/>
      <w:r w:rsidRPr="00EB46B4">
        <w:rPr>
          <w:sz w:val="24"/>
          <w:szCs w:val="24"/>
        </w:rPr>
        <w:t xml:space="preserve">nvestimento che effettuano operazioni in strumenti finanziari comunicano in modo completo e accurato i dettagli di tali operazioni all’autorità competente il più rapidamente possibile, e al più tardi entro la fine del giorno lavorativo seguente” (art. 26, n. 1 </w:t>
      </w:r>
      <w:r w:rsidRPr="00EB46B4">
        <w:rPr>
          <w:bCs/>
          <w:sz w:val="24"/>
          <w:szCs w:val="24"/>
        </w:rPr>
        <w:t>Regolamento europeo n. 600/2014).</w:t>
      </w:r>
    </w:p>
    <w:p w:rsidR="004B3914" w:rsidRPr="00EB46B4" w:rsidRDefault="004B3914" w:rsidP="0021245D">
      <w:pPr>
        <w:spacing w:line="360" w:lineRule="auto"/>
        <w:ind w:left="567" w:right="851" w:firstLine="709"/>
        <w:jc w:val="both"/>
        <w:rPr>
          <w:sz w:val="24"/>
          <w:szCs w:val="24"/>
        </w:rPr>
      </w:pPr>
      <w:r w:rsidRPr="00EB46B4">
        <w:rPr>
          <w:bCs/>
          <w:sz w:val="24"/>
          <w:szCs w:val="24"/>
        </w:rPr>
        <w:t xml:space="preserve">Le segnalazioni comprendono, tra l’altro, </w:t>
      </w:r>
      <w:r w:rsidRPr="00EB46B4">
        <w:rPr>
          <w:sz w:val="24"/>
          <w:szCs w:val="24"/>
        </w:rPr>
        <w:t>un elemento di identificazione dei clienti per conto dei quali l’impresa di investimento ha effettuato l’operazione (art. 26, n. 3, Reg. cit.) e lo stesso Reg. precisa che “Nel segnalare l’elemento di identificazione dei clienti di cui ai paragrafi 3 e 4, le imprese di investimento utilizzano l’identificativo della persona giuridica elaborato al fine di identificare i clienti che sono persone giuridiche. Entro il 3 gennaio 2016 l’ESMA elabora orientamenti, conformemente all’articolo 16 del Regolamento (UE) n. 1095/2010, atti a garantire che l’applicazione degli identificativi delle persone giuridiche all’interno dell’Unione sia conforme alle norme internazionali, in particolare quelle stabilite dal Consiglio per la stabilità finanziaria” (art.  26, n. 6).</w:t>
      </w:r>
    </w:p>
    <w:p w:rsidR="004B3914" w:rsidRDefault="004B3914" w:rsidP="0021245D">
      <w:pPr>
        <w:spacing w:before="120" w:after="0" w:line="360" w:lineRule="auto"/>
        <w:ind w:left="567" w:right="851" w:firstLine="709"/>
        <w:jc w:val="both"/>
        <w:rPr>
          <w:rFonts w:cs="Arial"/>
          <w:sz w:val="24"/>
          <w:szCs w:val="24"/>
        </w:rPr>
      </w:pPr>
      <w:r w:rsidRPr="00EB46B4">
        <w:rPr>
          <w:bCs/>
          <w:sz w:val="24"/>
          <w:szCs w:val="24"/>
        </w:rPr>
        <w:t xml:space="preserve">Tale identificativo è il cd. </w:t>
      </w:r>
      <w:r w:rsidRPr="00EB46B4">
        <w:rPr>
          <w:b/>
          <w:bCs/>
          <w:sz w:val="24"/>
          <w:szCs w:val="24"/>
        </w:rPr>
        <w:t>codice</w:t>
      </w:r>
      <w:r w:rsidRPr="00EB46B4">
        <w:rPr>
          <w:bCs/>
          <w:sz w:val="24"/>
          <w:szCs w:val="24"/>
        </w:rPr>
        <w:t xml:space="preserve"> </w:t>
      </w:r>
      <w:r w:rsidRPr="00EB46B4">
        <w:rPr>
          <w:rStyle w:val="Enfasigrassetto"/>
          <w:rFonts w:cs="Arial"/>
          <w:sz w:val="24"/>
          <w:szCs w:val="24"/>
        </w:rPr>
        <w:t>L.E.I.</w:t>
      </w:r>
      <w:r w:rsidRPr="00EB46B4">
        <w:rPr>
          <w:rFonts w:cs="Arial"/>
          <w:sz w:val="24"/>
          <w:szCs w:val="24"/>
        </w:rPr>
        <w:t xml:space="preserve">, “LEGAL ENTITY IDENTIFIER CODE”, </w:t>
      </w:r>
      <w:r w:rsidRPr="00EB46B4">
        <w:rPr>
          <w:sz w:val="24"/>
          <w:szCs w:val="24"/>
        </w:rPr>
        <w:t>un codice univoco di 20 caratteri alfanumerici basato sullo standard internazionale ISO 17442, attribuito per identificare le parti di operazioni finanziarie di tutto il mondo in tutti i mercati e sistemi giuridici</w:t>
      </w:r>
      <w:r w:rsidRPr="00EB46B4">
        <w:rPr>
          <w:rStyle w:val="Rimandonotaapidipagina"/>
          <w:rFonts w:cs="Arial"/>
          <w:sz w:val="24"/>
          <w:szCs w:val="24"/>
        </w:rPr>
        <w:footnoteReference w:id="1"/>
      </w:r>
      <w:r w:rsidRPr="00EB46B4">
        <w:rPr>
          <w:rFonts w:cs="Arial"/>
          <w:sz w:val="24"/>
          <w:szCs w:val="24"/>
        </w:rPr>
        <w:t xml:space="preserve">. </w:t>
      </w:r>
    </w:p>
    <w:p w:rsidR="005C2556" w:rsidRPr="005C2556" w:rsidRDefault="005C2556" w:rsidP="0021245D">
      <w:pPr>
        <w:ind w:left="567" w:right="851" w:firstLine="709"/>
        <w:jc w:val="both"/>
        <w:rPr>
          <w:sz w:val="24"/>
          <w:szCs w:val="24"/>
        </w:rPr>
      </w:pPr>
      <w:r w:rsidRPr="005C2556">
        <w:rPr>
          <w:sz w:val="24"/>
          <w:szCs w:val="24"/>
        </w:rPr>
        <w:lastRenderedPageBreak/>
        <w:t>Secondo quanto previsto al n. 2 del citato art. 26, l’obbligo di comunicazione previsto al paragrafo 1 si applica: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8093"/>
      </w:tblGrid>
      <w:tr w:rsidR="005C2556" w:rsidRPr="005C2556" w:rsidTr="003E0E3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2556" w:rsidRPr="005C2556" w:rsidRDefault="005C2556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5C2556">
              <w:rPr>
                <w:rFonts w:eastAsia="Times New Roman" w:cs="Lucida Sans Unicode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2556" w:rsidRPr="005C2556" w:rsidRDefault="005C2556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5C2556">
              <w:rPr>
                <w:rFonts w:eastAsia="Times New Roman" w:cs="Lucida Sans Unicode"/>
                <w:sz w:val="24"/>
                <w:szCs w:val="24"/>
                <w:lang w:eastAsia="it-IT"/>
              </w:rPr>
              <w:t>agli strumenti finanziari ammessi alla negoziazione o negoziati in una sede di negoziazione o per i quali è stata presentata una richiesta di ammissione alla negoziazione;</w:t>
            </w:r>
          </w:p>
        </w:tc>
      </w:tr>
      <w:tr w:rsidR="005C2556" w:rsidRPr="005C2556" w:rsidTr="003E0E3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2556" w:rsidRPr="005C2556" w:rsidRDefault="005C2556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5C2556">
              <w:rPr>
                <w:rFonts w:eastAsia="Times New Roman" w:cs="Lucida Sans Unicode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2556" w:rsidRPr="005C2556" w:rsidRDefault="005C2556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5C2556">
              <w:rPr>
                <w:rFonts w:eastAsia="Times New Roman" w:cs="Lucida Sans Unicode"/>
                <w:sz w:val="24"/>
                <w:szCs w:val="24"/>
                <w:lang w:eastAsia="it-IT"/>
              </w:rPr>
              <w:t>agli strumenti finanziari il cui sottostante è uno strumento finanziario negoziato in una sede di negoziazione; e</w:t>
            </w:r>
          </w:p>
        </w:tc>
      </w:tr>
      <w:tr w:rsidR="005C2556" w:rsidRPr="005C2556" w:rsidTr="003E0E3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2556" w:rsidRPr="005C2556" w:rsidRDefault="005C2556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5C2556">
              <w:rPr>
                <w:rFonts w:eastAsia="Times New Roman" w:cs="Lucida Sans Unicode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21245D" w:rsidRDefault="005C2556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5C2556">
              <w:rPr>
                <w:rFonts w:eastAsia="Times New Roman" w:cs="Lucida Sans Unicode"/>
                <w:sz w:val="24"/>
                <w:szCs w:val="24"/>
                <w:lang w:eastAsia="it-IT"/>
              </w:rPr>
              <w:t>agli strumenti finanziari il cui sottostante è un indice o un paniere composto da strumenti finanziari negoziati in una sede di negoziazione.</w:t>
            </w:r>
          </w:p>
          <w:p w:rsidR="0021245D" w:rsidRDefault="0021245D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</w:p>
          <w:p w:rsidR="005C2556" w:rsidRPr="0021245D" w:rsidRDefault="00CA605A" w:rsidP="0021245D">
            <w:pPr>
              <w:spacing w:before="120" w:after="0" w:line="312" w:lineRule="atLeast"/>
              <w:ind w:left="567" w:right="851" w:firstLine="709"/>
              <w:jc w:val="both"/>
              <w:rPr>
                <w:sz w:val="24"/>
                <w:szCs w:val="24"/>
              </w:rPr>
            </w:pPr>
            <w:r>
              <w:rPr>
                <w:rFonts w:eastAsia="Times New Roman" w:cs="Lucida Sans Unicode"/>
                <w:sz w:val="24"/>
                <w:szCs w:val="24"/>
                <w:lang w:eastAsia="it-IT"/>
              </w:rPr>
              <w:t xml:space="preserve">Per la definizione di “strumento finanziario” occorre fare riferimento all’art. 4 della Direttiva </w:t>
            </w:r>
            <w:r w:rsidRPr="0069456A">
              <w:rPr>
                <w:bCs/>
              </w:rPr>
              <w:t>2014/65/UE</w:t>
            </w:r>
            <w:r>
              <w:rPr>
                <w:bCs/>
              </w:rPr>
              <w:t xml:space="preserve"> cit., </w:t>
            </w:r>
            <w:r w:rsidRPr="00CA605A">
              <w:rPr>
                <w:bCs/>
                <w:sz w:val="24"/>
                <w:szCs w:val="24"/>
              </w:rPr>
              <w:t xml:space="preserve">in base al quale </w:t>
            </w:r>
            <w:r w:rsidRPr="00CA605A">
              <w:rPr>
                <w:rFonts w:eastAsia="Times New Roman" w:cs="Lucida Sans Unicode"/>
                <w:sz w:val="24"/>
                <w:szCs w:val="24"/>
                <w:lang w:eastAsia="it-IT"/>
              </w:rPr>
              <w:t xml:space="preserve"> “</w:t>
            </w:r>
            <w:r w:rsidRPr="00CA605A">
              <w:rPr>
                <w:sz w:val="24"/>
                <w:szCs w:val="24"/>
              </w:rPr>
              <w:t>1. Ai fini della presente direttiva, si applicano le seguenti definizioni:.... 15) «strumento finanziario»: qualsiasi strumento riportato nella</w:t>
            </w:r>
            <w:r w:rsidR="0021245D">
              <w:rPr>
                <w:sz w:val="24"/>
                <w:szCs w:val="24"/>
              </w:rPr>
              <w:t xml:space="preserve"> sezione C dell’allegato I. Nel citato </w:t>
            </w:r>
            <w:r w:rsidRPr="00CA605A">
              <w:rPr>
                <w:sz w:val="24"/>
                <w:szCs w:val="24"/>
              </w:rPr>
              <w:t xml:space="preserve">Allegato I, recante </w:t>
            </w:r>
            <w:r w:rsidR="0021245D">
              <w:rPr>
                <w:sz w:val="24"/>
                <w:szCs w:val="24"/>
              </w:rPr>
              <w:t>“</w:t>
            </w:r>
            <w:r w:rsidRPr="00CA605A">
              <w:rPr>
                <w:sz w:val="24"/>
                <w:szCs w:val="24"/>
              </w:rPr>
              <w:t>Elenco dei servizi, delle attività e degli strumenti finanziari”, alla sezione C si definiscono “strumenti finanziari”, fra gli altri, anche i “ Valori mobiliari</w:t>
            </w:r>
            <w:r w:rsidR="00925A11">
              <w:rPr>
                <w:sz w:val="24"/>
                <w:szCs w:val="24"/>
              </w:rPr>
              <w:t xml:space="preserve">”, che sono  </w:t>
            </w:r>
            <w:r w:rsidRPr="009421BC">
              <w:rPr>
                <w:sz w:val="24"/>
                <w:szCs w:val="24"/>
              </w:rPr>
              <w:t>titoli</w:t>
            </w:r>
            <w:r w:rsidRPr="00CA605A">
              <w:rPr>
                <w:sz w:val="24"/>
                <w:szCs w:val="24"/>
              </w:rPr>
              <w:t xml:space="preserve"> rappresentativi di </w:t>
            </w:r>
            <w:hyperlink r:id="rId10" w:history="1">
              <w:r w:rsidRPr="00CA605A">
                <w:rPr>
                  <w:rStyle w:val="Collegamentoipertestuale"/>
                  <w:color w:val="auto"/>
                  <w:sz w:val="24"/>
                  <w:szCs w:val="24"/>
                  <w:u w:val="none"/>
                </w:rPr>
                <w:t>attività</w:t>
              </w:r>
            </w:hyperlink>
            <w:r w:rsidRPr="00CA605A">
              <w:rPr>
                <w:sz w:val="24"/>
                <w:szCs w:val="24"/>
              </w:rPr>
              <w:t xml:space="preserve"> economiche (</w:t>
            </w:r>
            <w:hyperlink r:id="rId11" w:history="1">
              <w:r w:rsidRPr="00CA605A">
                <w:rPr>
                  <w:rStyle w:val="Collegamentoipertestuale"/>
                  <w:color w:val="auto"/>
                  <w:sz w:val="24"/>
                  <w:szCs w:val="24"/>
                  <w:u w:val="none"/>
                </w:rPr>
                <w:t>Azioni</w:t>
              </w:r>
            </w:hyperlink>
            <w:r w:rsidRPr="00CA605A">
              <w:rPr>
                <w:sz w:val="24"/>
                <w:szCs w:val="24"/>
              </w:rPr>
              <w:t xml:space="preserve">, </w:t>
            </w:r>
            <w:hyperlink r:id="rId12" w:history="1">
              <w:r w:rsidRPr="00CA605A">
                <w:rPr>
                  <w:rStyle w:val="Collegamentoipertestuale"/>
                  <w:color w:val="auto"/>
                  <w:sz w:val="24"/>
                  <w:szCs w:val="24"/>
                  <w:u w:val="none"/>
                </w:rPr>
                <w:t>Obbligazioni</w:t>
              </w:r>
            </w:hyperlink>
            <w:r w:rsidRPr="00CA605A">
              <w:rPr>
                <w:sz w:val="24"/>
                <w:szCs w:val="24"/>
              </w:rPr>
              <w:t xml:space="preserve">, </w:t>
            </w:r>
            <w:hyperlink r:id="rId13" w:history="1">
              <w:r w:rsidRPr="00CA605A">
                <w:rPr>
                  <w:rStyle w:val="Collegamentoipertestuale"/>
                  <w:color w:val="auto"/>
                  <w:sz w:val="24"/>
                  <w:szCs w:val="24"/>
                  <w:u w:val="none"/>
                </w:rPr>
                <w:t>Titoli di Stato</w:t>
              </w:r>
            </w:hyperlink>
            <w:r w:rsidRPr="00CA605A">
              <w:rPr>
                <w:sz w:val="24"/>
                <w:szCs w:val="24"/>
              </w:rPr>
              <w:t xml:space="preserve">, </w:t>
            </w:r>
            <w:hyperlink r:id="rId14" w:history="1">
              <w:r w:rsidRPr="00CA605A">
                <w:rPr>
                  <w:rStyle w:val="Collegamentoipertestuale"/>
                  <w:color w:val="auto"/>
                  <w:sz w:val="24"/>
                  <w:szCs w:val="24"/>
                  <w:u w:val="none"/>
                </w:rPr>
                <w:t>quote</w:t>
              </w:r>
            </w:hyperlink>
            <w:r w:rsidRPr="00CA605A">
              <w:rPr>
                <w:sz w:val="24"/>
                <w:szCs w:val="24"/>
              </w:rPr>
              <w:t xml:space="preserve"> di </w:t>
            </w:r>
            <w:hyperlink r:id="rId15" w:history="1">
              <w:r w:rsidRPr="00CA605A">
                <w:rPr>
                  <w:rStyle w:val="Collegamentoipertestuale"/>
                  <w:color w:val="auto"/>
                  <w:sz w:val="24"/>
                  <w:szCs w:val="24"/>
                  <w:u w:val="none"/>
                </w:rPr>
                <w:t>fondi comuni di investimento</w:t>
              </w:r>
            </w:hyperlink>
            <w:r w:rsidRPr="00CA605A">
              <w:rPr>
                <w:sz w:val="24"/>
                <w:szCs w:val="24"/>
              </w:rPr>
              <w:t xml:space="preserve"> eccetera) trasferibili agevolmente.</w:t>
            </w:r>
          </w:p>
        </w:tc>
      </w:tr>
    </w:tbl>
    <w:p w:rsidR="0021245D" w:rsidRDefault="0021245D" w:rsidP="0021245D">
      <w:pPr>
        <w:spacing w:line="360" w:lineRule="auto"/>
        <w:ind w:left="567" w:right="851" w:firstLine="709"/>
        <w:jc w:val="both"/>
        <w:rPr>
          <w:bCs/>
          <w:sz w:val="24"/>
          <w:szCs w:val="24"/>
        </w:rPr>
      </w:pPr>
    </w:p>
    <w:p w:rsidR="004B3914" w:rsidRDefault="009421BC" w:rsidP="0021245D">
      <w:pPr>
        <w:spacing w:line="360" w:lineRule="auto"/>
        <w:ind w:left="567" w:right="85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Considerato il tenore di</w:t>
      </w:r>
      <w:r w:rsidR="004B3914" w:rsidRPr="00EB46B4">
        <w:rPr>
          <w:bCs/>
          <w:sz w:val="24"/>
          <w:szCs w:val="24"/>
        </w:rPr>
        <w:t xml:space="preserve"> tale disciplina,</w:t>
      </w:r>
      <w:r>
        <w:rPr>
          <w:bCs/>
          <w:sz w:val="24"/>
          <w:szCs w:val="24"/>
        </w:rPr>
        <w:t xml:space="preserve"> e in particolare</w:t>
      </w:r>
      <w:r w:rsidR="004B3914" w:rsidRPr="00EB46B4">
        <w:rPr>
          <w:bCs/>
          <w:sz w:val="24"/>
          <w:szCs w:val="24"/>
        </w:rPr>
        <w:t>: a) l’obbligo di comunicazione che grava sulle imprese di investimento; b) l’oggetto di tale comunicazione, individuato nell’elemento di identificazione sopra richiamato, c) l’</w:t>
      </w:r>
      <w:r w:rsidR="005C2556">
        <w:rPr>
          <w:bCs/>
          <w:sz w:val="24"/>
          <w:szCs w:val="24"/>
        </w:rPr>
        <w:t>ampiezza delle espressioni</w:t>
      </w:r>
      <w:r w:rsidR="004B3914" w:rsidRPr="00EB46B4">
        <w:rPr>
          <w:bCs/>
          <w:sz w:val="24"/>
          <w:szCs w:val="24"/>
        </w:rPr>
        <w:t xml:space="preserve"> </w:t>
      </w:r>
      <w:r w:rsidR="005C2556">
        <w:rPr>
          <w:bCs/>
          <w:sz w:val="24"/>
          <w:szCs w:val="24"/>
        </w:rPr>
        <w:t>“</w:t>
      </w:r>
      <w:r w:rsidR="004B3914" w:rsidRPr="00EB46B4">
        <w:rPr>
          <w:bCs/>
          <w:sz w:val="24"/>
          <w:szCs w:val="24"/>
        </w:rPr>
        <w:t>strumenti finanziari”</w:t>
      </w:r>
      <w:r w:rsidR="00EB46B4" w:rsidRPr="00EB46B4">
        <w:rPr>
          <w:rStyle w:val="Rimandonotaapidipagina"/>
          <w:bCs/>
          <w:sz w:val="24"/>
          <w:szCs w:val="24"/>
        </w:rPr>
        <w:footnoteReference w:id="2"/>
      </w:r>
      <w:r w:rsidR="005C2556">
        <w:rPr>
          <w:bCs/>
          <w:sz w:val="24"/>
          <w:szCs w:val="24"/>
        </w:rPr>
        <w:t xml:space="preserve"> e</w:t>
      </w:r>
      <w:r w:rsidR="004B3914" w:rsidRPr="00EB46B4">
        <w:rPr>
          <w:bCs/>
          <w:sz w:val="24"/>
          <w:szCs w:val="24"/>
        </w:rPr>
        <w:t xml:space="preserve"> “persone giuridiche”, si deve ritenere che la disciplina in commento possa riguardare - fra gli altri </w:t>
      </w:r>
      <w:r w:rsidR="004B3914" w:rsidRPr="00EB46B4">
        <w:rPr>
          <w:sz w:val="24"/>
          <w:szCs w:val="24"/>
        </w:rPr>
        <w:t>soggetti diversi dalla persona fisica che effettuano operazioni in strumenti finanziari</w:t>
      </w:r>
      <w:r w:rsidR="004B3914" w:rsidRPr="00EB46B4">
        <w:rPr>
          <w:bCs/>
          <w:sz w:val="24"/>
          <w:szCs w:val="24"/>
        </w:rPr>
        <w:t xml:space="preserve"> di cui le imprese di investimento debbono comunicare gli elementi identificativi -  anche gli enti ecclesiastici.</w:t>
      </w:r>
    </w:p>
    <w:p w:rsidR="005C2556" w:rsidRPr="00EB46B4" w:rsidRDefault="005C2556" w:rsidP="0021245D">
      <w:pPr>
        <w:spacing w:before="120" w:after="0" w:line="360" w:lineRule="auto"/>
        <w:ind w:left="567" w:right="851" w:firstLine="1276"/>
        <w:jc w:val="both"/>
        <w:rPr>
          <w:rFonts w:eastAsia="Times New Roman" w:cs="Lucida Sans Unicode"/>
          <w:sz w:val="24"/>
          <w:szCs w:val="24"/>
          <w:u w:val="single"/>
          <w:lang w:eastAsia="it-IT"/>
        </w:rPr>
      </w:pPr>
      <w:r w:rsidRPr="00EB46B4">
        <w:rPr>
          <w:rFonts w:eastAsia="Times New Roman" w:cs="Lucida Sans Unicode"/>
          <w:sz w:val="24"/>
          <w:szCs w:val="24"/>
          <w:u w:val="single"/>
          <w:lang w:eastAsia="it-IT"/>
        </w:rPr>
        <w:t xml:space="preserve">Ne deriva, in estrema sintesi, che: gli enti ecclesiastici che non svolgono operazioni in strumenti finanziari non </w:t>
      </w:r>
      <w:r w:rsidRPr="00EB46B4">
        <w:rPr>
          <w:rFonts w:cs="Arial"/>
          <w:sz w:val="24"/>
          <w:szCs w:val="24"/>
          <w:u w:val="single"/>
        </w:rPr>
        <w:t xml:space="preserve">dovranno </w:t>
      </w:r>
      <w:r w:rsidRPr="00EB46B4">
        <w:rPr>
          <w:rStyle w:val="Enfasigrassetto"/>
          <w:rFonts w:cs="Arial"/>
          <w:b w:val="0"/>
          <w:sz w:val="24"/>
          <w:szCs w:val="24"/>
          <w:u w:val="single"/>
        </w:rPr>
        <w:t>richiedere il codice L.E.I.</w:t>
      </w:r>
      <w:r w:rsidRPr="00EB46B4">
        <w:rPr>
          <w:rFonts w:cs="Arial"/>
          <w:sz w:val="24"/>
          <w:szCs w:val="24"/>
          <w:u w:val="single"/>
        </w:rPr>
        <w:t xml:space="preserve"> Dovranno invece richiedere tale codice </w:t>
      </w:r>
      <w:r w:rsidRPr="00EB46B4">
        <w:rPr>
          <w:rFonts w:eastAsia="Times New Roman" w:cs="Lucida Sans Unicode"/>
          <w:sz w:val="24"/>
          <w:szCs w:val="24"/>
          <w:u w:val="single"/>
          <w:lang w:eastAsia="it-IT"/>
        </w:rPr>
        <w:t xml:space="preserve">i soggetti diversi dalle persone fisiche, </w:t>
      </w:r>
      <w:r w:rsidRPr="00EB46B4">
        <w:rPr>
          <w:rFonts w:eastAsia="Times New Roman" w:cs="Lucida Sans Unicode"/>
          <w:sz w:val="24"/>
          <w:szCs w:val="24"/>
          <w:u w:val="single"/>
          <w:lang w:eastAsia="it-IT"/>
        </w:rPr>
        <w:lastRenderedPageBreak/>
        <w:t>compresi gli enti ecclesiastici, che svolgono operazioni finanziarie nei termini indicati dalla normativa eurounitaria.</w:t>
      </w:r>
    </w:p>
    <w:p w:rsidR="0069456A" w:rsidRDefault="0069456A" w:rsidP="00084673">
      <w:pPr>
        <w:tabs>
          <w:tab w:val="left" w:pos="4678"/>
        </w:tabs>
        <w:spacing w:after="0" w:line="360" w:lineRule="auto"/>
        <w:ind w:left="567" w:right="85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869EA">
        <w:rPr>
          <w:bCs/>
          <w:sz w:val="24"/>
          <w:szCs w:val="24"/>
        </w:rPr>
        <w:t>Prof. Venerando Marano</w:t>
      </w:r>
    </w:p>
    <w:p w:rsidR="00084673" w:rsidRDefault="00D869EA" w:rsidP="00084673">
      <w:pPr>
        <w:tabs>
          <w:tab w:val="left" w:pos="4678"/>
        </w:tabs>
        <w:spacing w:after="0" w:line="360" w:lineRule="auto"/>
        <w:ind w:left="567" w:right="85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Coordinatore </w:t>
      </w:r>
      <w:r w:rsidR="00084673">
        <w:rPr>
          <w:bCs/>
          <w:sz w:val="24"/>
          <w:szCs w:val="24"/>
        </w:rPr>
        <w:t>scientifico</w:t>
      </w:r>
    </w:p>
    <w:p w:rsidR="00D869EA" w:rsidRDefault="00084673" w:rsidP="00084673">
      <w:pPr>
        <w:tabs>
          <w:tab w:val="left" w:pos="4253"/>
        </w:tabs>
        <w:spacing w:after="0" w:line="360" w:lineRule="auto"/>
        <w:ind w:left="567" w:right="85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  <w:r w:rsidR="00D869EA">
        <w:rPr>
          <w:bCs/>
          <w:sz w:val="24"/>
          <w:szCs w:val="24"/>
        </w:rPr>
        <w:t>Osservatorio giuridico-legislativo</w:t>
      </w:r>
    </w:p>
    <w:p w:rsidR="00D869EA" w:rsidRDefault="00D869EA" w:rsidP="00D869EA">
      <w:pPr>
        <w:spacing w:after="0" w:line="360" w:lineRule="auto"/>
        <w:ind w:right="851"/>
        <w:jc w:val="both"/>
        <w:rPr>
          <w:bCs/>
          <w:sz w:val="24"/>
          <w:szCs w:val="24"/>
        </w:rPr>
      </w:pPr>
    </w:p>
    <w:p w:rsidR="00D869EA" w:rsidRDefault="00D869EA" w:rsidP="00D869EA">
      <w:pPr>
        <w:spacing w:after="0" w:line="360" w:lineRule="auto"/>
        <w:ind w:right="851"/>
        <w:jc w:val="both"/>
        <w:rPr>
          <w:bCs/>
          <w:sz w:val="24"/>
          <w:szCs w:val="24"/>
        </w:rPr>
      </w:pPr>
    </w:p>
    <w:p w:rsidR="0069456A" w:rsidRPr="00EB46B4" w:rsidRDefault="0069456A" w:rsidP="00D869EA">
      <w:pPr>
        <w:spacing w:line="360" w:lineRule="auto"/>
        <w:ind w:left="567" w:righ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Roma, 5 dicembre 2017</w:t>
      </w:r>
    </w:p>
    <w:p w:rsidR="00CA605A" w:rsidRDefault="00CA605A" w:rsidP="0021245D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32669C" w:rsidRPr="008915A2" w:rsidRDefault="00EB46B4" w:rsidP="0021245D">
      <w:pPr>
        <w:spacing w:line="360" w:lineRule="auto"/>
        <w:rPr>
          <w:sz w:val="24"/>
          <w:szCs w:val="24"/>
          <w:u w:val="single"/>
        </w:rPr>
      </w:pPr>
      <w:r w:rsidRPr="008915A2">
        <w:rPr>
          <w:i/>
          <w:sz w:val="24"/>
          <w:szCs w:val="24"/>
          <w:u w:val="single"/>
        </w:rPr>
        <w:lastRenderedPageBreak/>
        <w:t>Documentazione</w:t>
      </w:r>
    </w:p>
    <w:p w:rsidR="00EB46B4" w:rsidRPr="008915A2" w:rsidRDefault="00EB46B4" w:rsidP="0021245D">
      <w:pPr>
        <w:spacing w:line="360" w:lineRule="auto"/>
        <w:rPr>
          <w:sz w:val="24"/>
          <w:szCs w:val="24"/>
        </w:rPr>
      </w:pPr>
    </w:p>
    <w:p w:rsidR="0028383A" w:rsidRPr="0069456A" w:rsidRDefault="0028383A" w:rsidP="0021245D">
      <w:r w:rsidRPr="0069456A">
        <w:rPr>
          <w:bCs/>
        </w:rPr>
        <w:t xml:space="preserve">DIRETTIVA 2014/65/UE DEL PARLAMENTO EUROPEO E DEL CONSIGLIO </w:t>
      </w:r>
    </w:p>
    <w:p w:rsidR="0028383A" w:rsidRPr="0069456A" w:rsidRDefault="0028383A" w:rsidP="0021245D">
      <w:r w:rsidRPr="0069456A">
        <w:rPr>
          <w:bCs/>
        </w:rPr>
        <w:t xml:space="preserve">del 15 maggio 2014 </w:t>
      </w:r>
    </w:p>
    <w:p w:rsidR="0028383A" w:rsidRPr="0069456A" w:rsidRDefault="0028383A" w:rsidP="0021245D">
      <w:r w:rsidRPr="0069456A">
        <w:rPr>
          <w:bCs/>
        </w:rPr>
        <w:t xml:space="preserve">relativa ai mercati degli strumenti finanziari e che modifica la direttiva 2002/92/CE e la direttiva 2011/61/UE </w:t>
      </w:r>
    </w:p>
    <w:p w:rsidR="0028383A" w:rsidRPr="0069456A" w:rsidRDefault="0028383A" w:rsidP="0021245D">
      <w:r w:rsidRPr="0069456A">
        <w:rPr>
          <w:bCs/>
        </w:rPr>
        <w:t xml:space="preserve">(rifusione) </w:t>
      </w:r>
    </w:p>
    <w:p w:rsidR="0069456A" w:rsidRPr="0069456A" w:rsidRDefault="0028383A" w:rsidP="0021245D">
      <w:pPr>
        <w:rPr>
          <w:bCs/>
        </w:rPr>
      </w:pPr>
      <w:r w:rsidRPr="0069456A">
        <w:rPr>
          <w:bCs/>
        </w:rPr>
        <w:t>(Testo rilevante ai fini del SEE)</w:t>
      </w:r>
    </w:p>
    <w:p w:rsidR="0069456A" w:rsidRDefault="0069456A" w:rsidP="0021245D">
      <w:pPr>
        <w:rPr>
          <w:i/>
          <w:iCs/>
        </w:rPr>
      </w:pPr>
    </w:p>
    <w:p w:rsidR="0028383A" w:rsidRPr="0069456A" w:rsidRDefault="0028383A" w:rsidP="0021245D">
      <w:pPr>
        <w:rPr>
          <w:bCs/>
        </w:rPr>
      </w:pPr>
      <w:r w:rsidRPr="0069456A">
        <w:rPr>
          <w:i/>
          <w:iCs/>
        </w:rPr>
        <w:t xml:space="preserve">Articolo 4 </w:t>
      </w:r>
    </w:p>
    <w:p w:rsidR="0028383A" w:rsidRPr="0069456A" w:rsidRDefault="0028383A" w:rsidP="0021245D">
      <w:pPr>
        <w:rPr>
          <w:i/>
        </w:rPr>
      </w:pPr>
      <w:r w:rsidRPr="0069456A">
        <w:rPr>
          <w:bCs/>
          <w:i/>
        </w:rPr>
        <w:t xml:space="preserve">Definizioni </w:t>
      </w:r>
    </w:p>
    <w:p w:rsidR="0028383A" w:rsidRDefault="0028383A" w:rsidP="0021245D">
      <w:pPr>
        <w:pStyle w:val="Paragrafoelenco"/>
        <w:numPr>
          <w:ilvl w:val="0"/>
          <w:numId w:val="1"/>
        </w:numPr>
      </w:pPr>
      <w:r>
        <w:t>Ai fini della presente direttiva, si applicano le seguenti definizioni:</w:t>
      </w:r>
    </w:p>
    <w:p w:rsidR="0028383A" w:rsidRDefault="0028383A" w:rsidP="0021245D">
      <w:r>
        <w:t>.....</w:t>
      </w:r>
    </w:p>
    <w:p w:rsidR="0028383A" w:rsidRDefault="0028383A" w:rsidP="0021245D">
      <w:r>
        <w:t xml:space="preserve">15) «strumento finanziario»: qualsiasi strumento riportato nella sezione C dell’allegato I; </w:t>
      </w:r>
    </w:p>
    <w:p w:rsidR="0028383A" w:rsidRDefault="0028383A" w:rsidP="0021245D"/>
    <w:p w:rsidR="0028383A" w:rsidRDefault="0028383A" w:rsidP="0021245D">
      <w:r>
        <w:rPr>
          <w:i/>
          <w:iCs/>
        </w:rPr>
        <w:t xml:space="preserve">ALLEGATO I </w:t>
      </w:r>
    </w:p>
    <w:p w:rsidR="0028383A" w:rsidRDefault="0028383A" w:rsidP="0021245D">
      <w:r>
        <w:rPr>
          <w:b/>
          <w:bCs/>
        </w:rPr>
        <w:t xml:space="preserve">ELENCO DEI SERVIZI, DELLE ATTIVITÀ E DEGLI STRUMENTI FINANZIARI </w:t>
      </w:r>
    </w:p>
    <w:p w:rsidR="0028383A" w:rsidRDefault="0028383A" w:rsidP="0021245D">
      <w:pPr>
        <w:rPr>
          <w:b/>
          <w:bCs/>
        </w:rPr>
      </w:pPr>
      <w:r>
        <w:rPr>
          <w:b/>
          <w:bCs/>
        </w:rPr>
        <w:t>…</w:t>
      </w:r>
    </w:p>
    <w:p w:rsidR="0028383A" w:rsidRDefault="0028383A" w:rsidP="0021245D">
      <w:r>
        <w:t xml:space="preserve">SEZIONE C </w:t>
      </w:r>
    </w:p>
    <w:p w:rsidR="0028383A" w:rsidRDefault="0028383A" w:rsidP="0021245D">
      <w:r>
        <w:rPr>
          <w:b/>
          <w:bCs/>
        </w:rPr>
        <w:t xml:space="preserve">Strumenti finanziari </w:t>
      </w:r>
    </w:p>
    <w:p w:rsidR="00A0698F" w:rsidRPr="00BE7942" w:rsidRDefault="0028383A" w:rsidP="0021245D">
      <w:r>
        <w:t xml:space="preserve">1) </w:t>
      </w:r>
      <w:r w:rsidR="0069456A">
        <w:rPr>
          <w:u w:val="single"/>
        </w:rPr>
        <w:t>Valori mobiliari</w:t>
      </w:r>
      <w:r w:rsidRPr="005C2556">
        <w:rPr>
          <w:u w:val="single"/>
        </w:rPr>
        <w:t xml:space="preserve"> </w:t>
      </w:r>
      <w:r w:rsidR="00BE7942">
        <w:rPr>
          <w:u w:val="single"/>
        </w:rPr>
        <w:t>[</w:t>
      </w:r>
      <w:r w:rsidR="00BE7942" w:rsidRPr="00BE7942">
        <w:rPr>
          <w:i/>
        </w:rPr>
        <w:t>Ndr</w:t>
      </w:r>
      <w:r w:rsidR="00A0698F">
        <w:t xml:space="preserve"> </w:t>
      </w:r>
      <w:r w:rsidR="00BE7942">
        <w:t xml:space="preserve">. </w:t>
      </w:r>
      <w:r w:rsidR="00A0698F">
        <w:t xml:space="preserve">sono Titoli rappresentativi di </w:t>
      </w:r>
      <w:hyperlink r:id="rId16" w:history="1">
        <w:r w:rsidR="00A0698F" w:rsidRPr="00BE7942">
          <w:rPr>
            <w:rStyle w:val="Collegamentoipertestuale"/>
            <w:color w:val="auto"/>
            <w:u w:val="none"/>
          </w:rPr>
          <w:t>attività</w:t>
        </w:r>
      </w:hyperlink>
      <w:r w:rsidR="00A0698F" w:rsidRPr="00BE7942">
        <w:t xml:space="preserve"> economiche (</w:t>
      </w:r>
      <w:hyperlink r:id="rId17" w:history="1">
        <w:r w:rsidR="00A0698F" w:rsidRPr="00BE7942">
          <w:rPr>
            <w:rStyle w:val="Collegamentoipertestuale"/>
            <w:color w:val="auto"/>
            <w:u w:val="none"/>
          </w:rPr>
          <w:t>Azioni</w:t>
        </w:r>
      </w:hyperlink>
      <w:r w:rsidR="00A0698F" w:rsidRPr="00BE7942">
        <w:t xml:space="preserve">, </w:t>
      </w:r>
      <w:hyperlink r:id="rId18" w:history="1">
        <w:r w:rsidR="00A0698F" w:rsidRPr="00BE7942">
          <w:rPr>
            <w:rStyle w:val="Collegamentoipertestuale"/>
            <w:color w:val="auto"/>
            <w:u w:val="none"/>
          </w:rPr>
          <w:t>Obbligazioni</w:t>
        </w:r>
      </w:hyperlink>
      <w:r w:rsidR="00A0698F" w:rsidRPr="00BE7942">
        <w:t xml:space="preserve">, </w:t>
      </w:r>
      <w:hyperlink r:id="rId19" w:history="1">
        <w:r w:rsidR="00A0698F" w:rsidRPr="00BE7942">
          <w:rPr>
            <w:rStyle w:val="Collegamentoipertestuale"/>
            <w:color w:val="auto"/>
            <w:u w:val="none"/>
          </w:rPr>
          <w:t>Titoli di Stato</w:t>
        </w:r>
      </w:hyperlink>
      <w:r w:rsidR="00A0698F" w:rsidRPr="00BE7942">
        <w:t xml:space="preserve">, </w:t>
      </w:r>
      <w:hyperlink r:id="rId20" w:history="1">
        <w:r w:rsidR="00A0698F" w:rsidRPr="00BE7942">
          <w:rPr>
            <w:rStyle w:val="Collegamentoipertestuale"/>
            <w:color w:val="auto"/>
            <w:u w:val="none"/>
          </w:rPr>
          <w:t>quote</w:t>
        </w:r>
      </w:hyperlink>
      <w:r w:rsidR="00A0698F" w:rsidRPr="00BE7942">
        <w:t xml:space="preserve"> di </w:t>
      </w:r>
      <w:hyperlink r:id="rId21" w:history="1">
        <w:r w:rsidR="00A0698F" w:rsidRPr="00BE7942">
          <w:rPr>
            <w:rStyle w:val="Collegamentoipertestuale"/>
            <w:color w:val="auto"/>
            <w:u w:val="none"/>
          </w:rPr>
          <w:t>fondi comuni di investimento</w:t>
        </w:r>
      </w:hyperlink>
      <w:r w:rsidR="00A0698F" w:rsidRPr="00BE7942">
        <w:t xml:space="preserve"> eccetera)</w:t>
      </w:r>
      <w:r w:rsidR="00BE7942">
        <w:t xml:space="preserve"> trasferibili agevolmente]</w:t>
      </w:r>
    </w:p>
    <w:p w:rsidR="00A0698F" w:rsidRDefault="00A0698F" w:rsidP="0021245D"/>
    <w:p w:rsidR="0028383A" w:rsidRPr="005C2556" w:rsidRDefault="00A0698F" w:rsidP="0021245D">
      <w:pPr>
        <w:rPr>
          <w:u w:val="single"/>
        </w:rPr>
      </w:pPr>
      <w:r>
        <w:rPr>
          <w:u w:val="single"/>
        </w:rPr>
        <w:t>)</w:t>
      </w:r>
    </w:p>
    <w:p w:rsidR="0028383A" w:rsidRDefault="0028383A" w:rsidP="0021245D">
      <w:r>
        <w:t>2) Strumenti del mercato monetario</w:t>
      </w:r>
    </w:p>
    <w:p w:rsidR="0028383A" w:rsidRPr="0069456A" w:rsidRDefault="0028383A" w:rsidP="0021245D">
      <w:pPr>
        <w:pStyle w:val="CM4"/>
        <w:spacing w:before="60" w:after="60"/>
        <w:rPr>
          <w:rFonts w:asciiTheme="minorHAnsi" w:hAnsiTheme="minorHAnsi"/>
          <w:color w:val="19161B"/>
        </w:rPr>
      </w:pPr>
      <w:r>
        <w:rPr>
          <w:color w:val="19161B"/>
          <w:sz w:val="19"/>
          <w:szCs w:val="19"/>
        </w:rPr>
        <w:t>3</w:t>
      </w:r>
      <w:r w:rsidRPr="0069456A">
        <w:rPr>
          <w:rFonts w:asciiTheme="minorHAnsi" w:hAnsiTheme="minorHAnsi"/>
          <w:color w:val="19161B"/>
        </w:rPr>
        <w:t xml:space="preserve">) Quote di un organismo di investimento collettivo.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4) Contratti di opzione, contratti finanziari a termine standardizzati («future»), «swap», accordi per scambi futuri di tassi di interesse e altri contratti su strumenti derivati connessi a valori mobiliari, valute, tassi di interesse o rendimenti, quote di emissioni o altri strumenti finanziari derivati, indici finanziari o misure finanziarie che possono essere regolati con consegna fisica del sottostante o attraverso il pagamento di differenziali in contanti.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lastRenderedPageBreak/>
        <w:t xml:space="preserve">5) Contratti di opzione, contratti finanziari a termine standardizzati («future»), «swap», contratti a termine («forward») ed altri contratti su strumenti derivati connessi a merci quando l’esecuzione deve avvenire attraverso il pagamento di differenziali in contanti oppure possa avvenire in contanti a discrezione di una delle parti (per motivi diversi dall’inadempimento o da un altro evento che determini la risoluzione).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6) Contratti di opzione, contratti finanziari a termine standardizzati («future»), «swap ed altri contratti su strumenti derivati connessi a merci che possono essere regolati con consegna fisica purché negoziati su un mercato regolamentato, un sistema multilaterale di negoziazione o un sistema organizzato di negoziazione, eccettuati i prodotti energetici all’ingrosso negoziati in un sistema organizzato di negoziazione che devono essere regolati con consegna fisica.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7) Contratti di opzione, contratti finanziari a termine standardizzati («future»), «swap», contratti a termine («forward») ed altri contratti su strumenti derivati connessi a merci che non possano essere eseguiti in modi diversi da quelli citati al punto 6 della presente sezione e non abbiano scopi commerciali, aventi le caratteristiche di altri strumenti finanziari derivati.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8) Strumenti finanziari derivati per il trasferimento del rischio di credito.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9) Contratti finanziari differenziali.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10) Contratti di opzione, contratti finanziari a termine standardizzati («future»), «swap», contratti a termine sui tassi d’interesse e altri contratti su strumenti derivati connessi a variabili climatiche, tariffe di trasporto, tassi di inflazione o altre statistiche economiche ufficiali, quando l’esecuzione debba avvenire attraverso il pagamento di differenziali in contanti o possa avvenire in tal modo a discrezione di una delle parti (invece che in caso di inadempimento o di altro evento che determini la risoluzione del contratto), nonché altri contratti su strumenti derivati connessi a beni, diritti, obblighi, indici e misure, non altrimenti citati nella presente sezione, aventi le caratteristiche di altri strumenti finanziari derivati, considerando, tra l’altro, se sono negoziati su un mercato regolamentato, un sistema organizzato di negoziazione o un sistema multilaterale di negoziazione;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11) Quote di emissioni che consistono di qualsiasi unità riconosciuta conforme ai requisiti della direttiva 2003/87/CE (sistema per lo scambio di emissioni). </w:t>
      </w:r>
    </w:p>
    <w:p w:rsidR="00EB46B4" w:rsidRPr="0069456A" w:rsidRDefault="00EB46B4" w:rsidP="0021245D">
      <w:pPr>
        <w:spacing w:line="360" w:lineRule="auto"/>
        <w:jc w:val="both"/>
        <w:rPr>
          <w:sz w:val="24"/>
          <w:szCs w:val="24"/>
        </w:rPr>
      </w:pPr>
    </w:p>
    <w:sectPr w:rsidR="00EB46B4" w:rsidRPr="0069456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CF" w:rsidRDefault="00066FCF" w:rsidP="004B3914">
      <w:pPr>
        <w:spacing w:after="0" w:line="240" w:lineRule="auto"/>
      </w:pPr>
      <w:r>
        <w:separator/>
      </w:r>
    </w:p>
  </w:endnote>
  <w:endnote w:type="continuationSeparator" w:id="0">
    <w:p w:rsidR="00066FCF" w:rsidRDefault="00066FCF" w:rsidP="004B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0C" w:rsidRDefault="00DD4E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0C" w:rsidRDefault="00DD4E0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0C" w:rsidRDefault="00DD4E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CF" w:rsidRDefault="00066FCF" w:rsidP="004B3914">
      <w:pPr>
        <w:spacing w:after="0" w:line="240" w:lineRule="auto"/>
      </w:pPr>
      <w:r>
        <w:separator/>
      </w:r>
    </w:p>
  </w:footnote>
  <w:footnote w:type="continuationSeparator" w:id="0">
    <w:p w:rsidR="00066FCF" w:rsidRDefault="00066FCF" w:rsidP="004B3914">
      <w:pPr>
        <w:spacing w:after="0" w:line="240" w:lineRule="auto"/>
      </w:pPr>
      <w:r>
        <w:continuationSeparator/>
      </w:r>
    </w:p>
  </w:footnote>
  <w:footnote w:id="1">
    <w:p w:rsidR="004B3914" w:rsidRPr="00EB46B4" w:rsidRDefault="004B3914" w:rsidP="00EB46B4">
      <w:pPr>
        <w:spacing w:before="120" w:line="312" w:lineRule="atLeast"/>
        <w:ind w:left="567" w:right="851"/>
        <w:jc w:val="both"/>
        <w:rPr>
          <w:rFonts w:cs="Lucida Sans Unicode"/>
          <w:sz w:val="20"/>
          <w:szCs w:val="20"/>
        </w:rPr>
      </w:pPr>
      <w:r w:rsidRPr="00EB46B4">
        <w:rPr>
          <w:rStyle w:val="Rimandonotaapidipagina"/>
          <w:sz w:val="20"/>
          <w:szCs w:val="20"/>
        </w:rPr>
        <w:footnoteRef/>
      </w:r>
      <w:r w:rsidRPr="00EB46B4">
        <w:rPr>
          <w:sz w:val="20"/>
          <w:szCs w:val="20"/>
        </w:rPr>
        <w:t xml:space="preserve"> </w:t>
      </w:r>
      <w:r w:rsidRPr="00EB46B4">
        <w:rPr>
          <w:rFonts w:eastAsia="Times New Roman" w:cs="Lucida Sans Unicode"/>
          <w:sz w:val="20"/>
          <w:szCs w:val="20"/>
          <w:lang w:eastAsia="it-IT"/>
        </w:rPr>
        <w:t>Il Codice L.E.I. può essere richiesto a Unioncamere (</w:t>
      </w:r>
      <w:hyperlink r:id="rId1" w:history="1">
        <w:r w:rsidRPr="00EB46B4">
          <w:rPr>
            <w:rStyle w:val="Collegamentoipertestuale"/>
            <w:rFonts w:eastAsia="Times New Roman" w:cs="Lucida Sans Unicode"/>
            <w:color w:val="auto"/>
            <w:sz w:val="20"/>
            <w:szCs w:val="20"/>
            <w:lang w:eastAsia="it-IT"/>
          </w:rPr>
          <w:t>https://lei-italy.infocamere.it</w:t>
        </w:r>
      </w:hyperlink>
      <w:r w:rsidRPr="00EB46B4">
        <w:rPr>
          <w:rFonts w:eastAsia="Times New Roman" w:cs="Lucida Sans Unicode"/>
          <w:sz w:val="20"/>
          <w:szCs w:val="20"/>
          <w:lang w:eastAsia="it-IT"/>
        </w:rPr>
        <w:t>).</w:t>
      </w:r>
      <w:r w:rsidRPr="00EB46B4">
        <w:rPr>
          <w:rFonts w:eastAsia="Times New Roman" w:cs="Lucida Sans Unicode"/>
          <w:sz w:val="20"/>
          <w:szCs w:val="20"/>
        </w:rPr>
        <w:t>Il costo per l'emissione del Codice è pari ad euro 122 e deve essere rinnovato annualmente (al costo di euro 85,40).</w:t>
      </w:r>
    </w:p>
  </w:footnote>
  <w:footnote w:id="2">
    <w:p w:rsidR="00EB46B4" w:rsidRPr="00EB46B4" w:rsidRDefault="00EB46B4" w:rsidP="00EB46B4">
      <w:pPr>
        <w:pStyle w:val="Testonotaapidipagina"/>
        <w:ind w:left="567"/>
      </w:pPr>
      <w:r w:rsidRPr="00EB46B4">
        <w:rPr>
          <w:rStyle w:val="Rimandonotaapidipagina"/>
        </w:rPr>
        <w:footnoteRef/>
      </w:r>
      <w:r w:rsidRPr="00EB46B4">
        <w:t xml:space="preserve"> V. </w:t>
      </w:r>
      <w:r w:rsidRPr="00EB46B4">
        <w:rPr>
          <w:i/>
        </w:rPr>
        <w:t>infra</w:t>
      </w:r>
      <w:r w:rsidRPr="00EB46B4">
        <w:t xml:space="preserve">, sub </w:t>
      </w:r>
      <w:r w:rsidRPr="00EB46B4">
        <w:rPr>
          <w:i/>
        </w:rPr>
        <w:t>Documentazione</w:t>
      </w:r>
      <w:r w:rsidRPr="00EB46B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0C" w:rsidRDefault="00DD4E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0C" w:rsidRDefault="00DD4E0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0C" w:rsidRDefault="00DD4E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0F66"/>
    <w:multiLevelType w:val="hybridMultilevel"/>
    <w:tmpl w:val="A5DEC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14"/>
    <w:rsid w:val="00066FCF"/>
    <w:rsid w:val="00084673"/>
    <w:rsid w:val="000C55D6"/>
    <w:rsid w:val="002012B6"/>
    <w:rsid w:val="0021245D"/>
    <w:rsid w:val="002221D3"/>
    <w:rsid w:val="0028383A"/>
    <w:rsid w:val="00314934"/>
    <w:rsid w:val="0032669C"/>
    <w:rsid w:val="004B3914"/>
    <w:rsid w:val="005C2556"/>
    <w:rsid w:val="00675E7E"/>
    <w:rsid w:val="0069456A"/>
    <w:rsid w:val="007B2CDF"/>
    <w:rsid w:val="008915A2"/>
    <w:rsid w:val="00911BAE"/>
    <w:rsid w:val="00925A11"/>
    <w:rsid w:val="009421BC"/>
    <w:rsid w:val="00A0698F"/>
    <w:rsid w:val="00AC65CB"/>
    <w:rsid w:val="00AF19AE"/>
    <w:rsid w:val="00B90129"/>
    <w:rsid w:val="00BE7942"/>
    <w:rsid w:val="00CA605A"/>
    <w:rsid w:val="00D33CE7"/>
    <w:rsid w:val="00D869EA"/>
    <w:rsid w:val="00DC1B16"/>
    <w:rsid w:val="00DD4803"/>
    <w:rsid w:val="00DD4E0C"/>
    <w:rsid w:val="00E40651"/>
    <w:rsid w:val="00EB46B4"/>
    <w:rsid w:val="00EC5D71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9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3914"/>
    <w:rPr>
      <w:color w:val="15305F"/>
      <w:u w:val="single"/>
    </w:rPr>
  </w:style>
  <w:style w:type="character" w:styleId="Enfasigrassetto">
    <w:name w:val="Strong"/>
    <w:basedOn w:val="Carpredefinitoparagrafo"/>
    <w:uiPriority w:val="22"/>
    <w:qFormat/>
    <w:rsid w:val="004B3914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91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9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9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8383A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CM4">
    <w:name w:val="CM4"/>
    <w:basedOn w:val="Normale"/>
    <w:uiPriority w:val="99"/>
    <w:rsid w:val="0028383A"/>
    <w:pPr>
      <w:autoSpaceDE w:val="0"/>
      <w:autoSpaceDN w:val="0"/>
      <w:spacing w:after="0" w:line="240" w:lineRule="auto"/>
    </w:pPr>
    <w:rPr>
      <w:rFonts w:ascii="EUAlbertina" w:hAnsi="EUAlbertin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4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E0C"/>
  </w:style>
  <w:style w:type="paragraph" w:styleId="Pidipagina">
    <w:name w:val="footer"/>
    <w:basedOn w:val="Normale"/>
    <w:link w:val="PidipaginaCarattere"/>
    <w:uiPriority w:val="99"/>
    <w:unhideWhenUsed/>
    <w:rsid w:val="00DD4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9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3914"/>
    <w:rPr>
      <w:color w:val="15305F"/>
      <w:u w:val="single"/>
    </w:rPr>
  </w:style>
  <w:style w:type="character" w:styleId="Enfasigrassetto">
    <w:name w:val="Strong"/>
    <w:basedOn w:val="Carpredefinitoparagrafo"/>
    <w:uiPriority w:val="22"/>
    <w:qFormat/>
    <w:rsid w:val="004B3914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91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9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9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8383A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CM4">
    <w:name w:val="CM4"/>
    <w:basedOn w:val="Normale"/>
    <w:uiPriority w:val="99"/>
    <w:rsid w:val="0028383A"/>
    <w:pPr>
      <w:autoSpaceDE w:val="0"/>
      <w:autoSpaceDN w:val="0"/>
      <w:spacing w:after="0" w:line="240" w:lineRule="auto"/>
    </w:pPr>
    <w:rPr>
      <w:rFonts w:ascii="EUAlbertina" w:hAnsi="EUAlbertin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4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E0C"/>
  </w:style>
  <w:style w:type="paragraph" w:styleId="Pidipagina">
    <w:name w:val="footer"/>
    <w:basedOn w:val="Normale"/>
    <w:link w:val="PidipaginaCarattere"/>
    <w:uiPriority w:val="99"/>
    <w:unhideWhenUsed/>
    <w:rsid w:val="00DD4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.mimi.hu/economia/titoli_di_stato.html" TargetMode="External"/><Relationship Id="rId18" Type="http://schemas.openxmlformats.org/officeDocument/2006/relationships/hyperlink" Target="https://it.mimi.hu/economia/obbligazioni.htm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it.mimi.hu/economia/fondi_comuni_di_investimento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t.mimi.hu/economia/obbligazioni.html" TargetMode="External"/><Relationship Id="rId17" Type="http://schemas.openxmlformats.org/officeDocument/2006/relationships/hyperlink" Target="https://it.mimi.hu/economia/azioni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it.mimi.hu/economia/attivita.html" TargetMode="External"/><Relationship Id="rId20" Type="http://schemas.openxmlformats.org/officeDocument/2006/relationships/hyperlink" Target="https://it.mimi.hu/economia/quote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.mimi.hu/economia/azioni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it.mimi.hu/economia/fondi_comuni_di_investimento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it.mimi.hu/economia/attivita.html" TargetMode="External"/><Relationship Id="rId19" Type="http://schemas.openxmlformats.org/officeDocument/2006/relationships/hyperlink" Target="https://it.mimi.hu/economia/titoli_di_stat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IT/TXT/HTML/?uri=CELEX:32014L0065&amp;from=IT" TargetMode="External"/><Relationship Id="rId14" Type="http://schemas.openxmlformats.org/officeDocument/2006/relationships/hyperlink" Target="https://it.mimi.hu/economia/quote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i-italy.infocamer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0B2B-86E4-4417-B1A8-9458F91E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7497</Characters>
  <Application>Microsoft Office Word</Application>
  <DocSecurity>0</DocSecurity>
  <Lines>62</Lines>
  <Paragraphs>17</Paragraphs>
  <ScaleCrop>false</ScaleCrop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2017-12-06T14:48:00Z</dcterms:created>
  <dcterms:modified xsi:type="dcterms:W3CDTF">2017-12-06T14:48:00Z</dcterms:modified>
</cp:coreProperties>
</file>