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4043" w:rsidRDefault="008C4043">
      <w:r>
        <w:t>Pubblicata in SIR, 6 novembre 2014</w:t>
      </w:r>
    </w:p>
    <w:tbl>
      <w:tblPr>
        <w:tblW w:w="5074" w:type="pct"/>
        <w:tblCellSpacing w:w="0" w:type="dxa"/>
        <w:tblInd w:w="-142" w:type="dxa"/>
        <w:tblCellMar>
          <w:left w:w="0" w:type="dxa"/>
          <w:right w:w="0" w:type="dxa"/>
        </w:tblCellMar>
        <w:tblLook w:val="04A0" w:firstRow="1" w:lastRow="0" w:firstColumn="1" w:lastColumn="0" w:noHBand="0" w:noVBand="1"/>
      </w:tblPr>
      <w:tblGrid>
        <w:gridCol w:w="9781"/>
      </w:tblGrid>
      <w:tr w:rsidR="008C4043" w:rsidRPr="008C4043" w:rsidTr="008C4043">
        <w:trPr>
          <w:tblCellSpacing w:w="0" w:type="dxa"/>
        </w:trPr>
        <w:tc>
          <w:tcPr>
            <w:tcW w:w="5000" w:type="pct"/>
            <w:tcBorders>
              <w:bottom w:val="single" w:sz="6" w:space="0" w:color="CCCCCC"/>
            </w:tcBorders>
            <w:vAlign w:val="center"/>
            <w:hideMark/>
          </w:tcPr>
          <w:p w:rsidR="008C4043" w:rsidRDefault="008C4043" w:rsidP="008C4043">
            <w:pPr>
              <w:spacing w:after="0" w:line="330" w:lineRule="atLeast"/>
              <w:jc w:val="center"/>
              <w:rPr>
                <w:rFonts w:ascii="Arial" w:eastAsia="Times New Roman" w:hAnsi="Arial" w:cs="Arial"/>
                <w:b/>
                <w:bCs/>
                <w:caps/>
                <w:color w:val="3E3E3E"/>
                <w:sz w:val="18"/>
                <w:szCs w:val="18"/>
                <w:lang w:eastAsia="it-IT"/>
              </w:rPr>
            </w:pPr>
            <w:r w:rsidRPr="008C4043">
              <w:rPr>
                <w:rFonts w:ascii="Arial" w:eastAsia="Times New Roman" w:hAnsi="Arial" w:cs="Arial"/>
                <w:b/>
                <w:bCs/>
                <w:caps/>
                <w:color w:val="3E3E3E"/>
                <w:sz w:val="18"/>
                <w:szCs w:val="18"/>
                <w:lang w:eastAsia="it-IT"/>
              </w:rPr>
              <w:t>DOPO IL RICORSO EUROPEO</w:t>
            </w:r>
          </w:p>
          <w:p w:rsidR="008C4043" w:rsidRPr="008C4043" w:rsidRDefault="008C4043" w:rsidP="008C4043">
            <w:pPr>
              <w:spacing w:after="0" w:line="330" w:lineRule="atLeast"/>
              <w:jc w:val="center"/>
              <w:rPr>
                <w:rFonts w:ascii="Arial" w:eastAsia="Times New Roman" w:hAnsi="Arial" w:cs="Arial"/>
                <w:b/>
                <w:bCs/>
                <w:caps/>
                <w:color w:val="3E3E3E"/>
                <w:sz w:val="18"/>
                <w:szCs w:val="18"/>
                <w:lang w:eastAsia="it-IT"/>
              </w:rPr>
            </w:pPr>
          </w:p>
          <w:p w:rsidR="008C4043" w:rsidRPr="008C4043" w:rsidRDefault="008C4043" w:rsidP="008C4043">
            <w:pPr>
              <w:spacing w:after="75" w:line="420" w:lineRule="atLeast"/>
              <w:jc w:val="center"/>
              <w:rPr>
                <w:rFonts w:ascii="Arial" w:eastAsia="Times New Roman" w:hAnsi="Arial" w:cs="Arial"/>
                <w:b/>
                <w:bCs/>
                <w:color w:val="AC5B19"/>
                <w:sz w:val="36"/>
                <w:szCs w:val="36"/>
                <w:lang w:eastAsia="it-IT"/>
              </w:rPr>
            </w:pPr>
            <w:r w:rsidRPr="008C4043">
              <w:rPr>
                <w:rFonts w:ascii="Arial" w:eastAsia="Times New Roman" w:hAnsi="Arial" w:cs="Arial"/>
                <w:b/>
                <w:bCs/>
                <w:color w:val="AC5B19"/>
                <w:sz w:val="36"/>
                <w:szCs w:val="36"/>
                <w:lang w:eastAsia="it-IT"/>
              </w:rPr>
              <w:t>"Ma la Chiesa paga</w:t>
            </w:r>
            <w:r w:rsidRPr="008C4043">
              <w:rPr>
                <w:rFonts w:ascii="Arial" w:eastAsia="Times New Roman" w:hAnsi="Arial" w:cs="Arial"/>
                <w:b/>
                <w:bCs/>
                <w:color w:val="AC5B19"/>
                <w:sz w:val="36"/>
                <w:szCs w:val="36"/>
                <w:lang w:eastAsia="it-IT"/>
              </w:rPr>
              <w:br/>
              <w:t>tutta l’</w:t>
            </w:r>
            <w:proofErr w:type="spellStart"/>
            <w:r w:rsidRPr="008C4043">
              <w:rPr>
                <w:rFonts w:ascii="Arial" w:eastAsia="Times New Roman" w:hAnsi="Arial" w:cs="Arial"/>
                <w:b/>
                <w:bCs/>
                <w:color w:val="AC5B19"/>
                <w:sz w:val="36"/>
                <w:szCs w:val="36"/>
                <w:lang w:eastAsia="it-IT"/>
              </w:rPr>
              <w:t>Imu</w:t>
            </w:r>
            <w:proofErr w:type="spellEnd"/>
            <w:r w:rsidRPr="008C4043">
              <w:rPr>
                <w:rFonts w:ascii="Arial" w:eastAsia="Times New Roman" w:hAnsi="Arial" w:cs="Arial"/>
                <w:b/>
                <w:bCs/>
                <w:color w:val="AC5B19"/>
                <w:sz w:val="36"/>
                <w:szCs w:val="36"/>
                <w:lang w:eastAsia="it-IT"/>
              </w:rPr>
              <w:t xml:space="preserve"> dovuta</w:t>
            </w:r>
            <w:r w:rsidRPr="008C4043">
              <w:rPr>
                <w:rFonts w:ascii="Arial" w:eastAsia="Times New Roman" w:hAnsi="Arial" w:cs="Arial"/>
                <w:b/>
                <w:bCs/>
                <w:color w:val="AC5B19"/>
                <w:sz w:val="36"/>
                <w:szCs w:val="36"/>
                <w:lang w:eastAsia="it-IT"/>
              </w:rPr>
              <w:br/>
              <w:t>per le realtà commerciali"</w:t>
            </w:r>
          </w:p>
          <w:p w:rsidR="008C4043" w:rsidRPr="008C4043" w:rsidRDefault="008C4043" w:rsidP="008C4043">
            <w:pPr>
              <w:spacing w:line="330" w:lineRule="atLeast"/>
              <w:jc w:val="both"/>
              <w:rPr>
                <w:rFonts w:ascii="Arial" w:eastAsia="Times New Roman" w:hAnsi="Arial" w:cs="Arial"/>
                <w:b/>
                <w:bCs/>
                <w:color w:val="3E3E3E"/>
                <w:sz w:val="24"/>
                <w:szCs w:val="24"/>
                <w:lang w:eastAsia="it-IT"/>
              </w:rPr>
            </w:pPr>
            <w:r w:rsidRPr="008C4043">
              <w:rPr>
                <w:rFonts w:ascii="Arial" w:eastAsia="Times New Roman" w:hAnsi="Arial" w:cs="Arial"/>
                <w:b/>
                <w:bCs/>
                <w:color w:val="3E3E3E"/>
                <w:sz w:val="24"/>
                <w:szCs w:val="24"/>
                <w:lang w:eastAsia="it-IT"/>
              </w:rPr>
              <w:t xml:space="preserve">Venerando Marano, coordinatore dell’Osservatorio giuridico-legislativo della </w:t>
            </w:r>
            <w:proofErr w:type="spellStart"/>
            <w:r w:rsidRPr="008C4043">
              <w:rPr>
                <w:rFonts w:ascii="Arial" w:eastAsia="Times New Roman" w:hAnsi="Arial" w:cs="Arial"/>
                <w:b/>
                <w:bCs/>
                <w:color w:val="3E3E3E"/>
                <w:sz w:val="24"/>
                <w:szCs w:val="24"/>
                <w:lang w:eastAsia="it-IT"/>
              </w:rPr>
              <w:t>Cei</w:t>
            </w:r>
            <w:proofErr w:type="spellEnd"/>
            <w:r w:rsidRPr="008C4043">
              <w:rPr>
                <w:rFonts w:ascii="Arial" w:eastAsia="Times New Roman" w:hAnsi="Arial" w:cs="Arial"/>
                <w:b/>
                <w:bCs/>
                <w:color w:val="3E3E3E"/>
                <w:sz w:val="24"/>
                <w:szCs w:val="24"/>
                <w:lang w:eastAsia="it-IT"/>
              </w:rPr>
              <w:t>, fa il punto sull'applicazione della normativa introdotta dal governo Monti circa le attività diverse da quelle di religione o di culto (istruzione, sanità o altro): "L'esigenza di fare chiarezza deve coniugarsi alla necessità di evitare letture ideologiche e fuorvianti e alla consapevolezza del grande valore sociale di talune attività"</w:t>
            </w:r>
          </w:p>
          <w:p w:rsidR="008C4043" w:rsidRPr="008C4043" w:rsidRDefault="008C4043" w:rsidP="008C4043">
            <w:pPr>
              <w:spacing w:after="0" w:line="165" w:lineRule="atLeast"/>
              <w:jc w:val="both"/>
              <w:rPr>
                <w:rFonts w:ascii="Arial" w:eastAsia="Times New Roman" w:hAnsi="Arial" w:cs="Arial"/>
                <w:color w:val="000000"/>
                <w:sz w:val="23"/>
                <w:szCs w:val="23"/>
                <w:lang w:eastAsia="it-IT"/>
              </w:rPr>
            </w:pPr>
            <w:r w:rsidRPr="008C4043">
              <w:rPr>
                <w:rFonts w:ascii="Arial" w:eastAsia="Times New Roman" w:hAnsi="Arial" w:cs="Arial"/>
                <w:i/>
                <w:iCs/>
                <w:color w:val="000000"/>
                <w:sz w:val="23"/>
                <w:szCs w:val="23"/>
                <w:lang w:eastAsia="it-IT"/>
              </w:rPr>
              <w:t>Gianni Borsa</w:t>
            </w:r>
          </w:p>
          <w:p w:rsidR="008C4043" w:rsidRPr="008C4043" w:rsidRDefault="008C4043" w:rsidP="008C4043">
            <w:pPr>
              <w:spacing w:after="0" w:line="330" w:lineRule="atLeast"/>
              <w:jc w:val="both"/>
              <w:rPr>
                <w:rFonts w:ascii="Arial" w:eastAsia="Times New Roman" w:hAnsi="Arial" w:cs="Arial"/>
                <w:color w:val="000000"/>
                <w:sz w:val="23"/>
                <w:szCs w:val="23"/>
                <w:lang w:eastAsia="it-IT"/>
              </w:rPr>
            </w:pPr>
          </w:p>
        </w:tc>
      </w:tr>
      <w:tr w:rsidR="008C4043" w:rsidRPr="008C4043" w:rsidTr="008C4043">
        <w:trPr>
          <w:tblCellSpacing w:w="0" w:type="dxa"/>
        </w:trPr>
        <w:tc>
          <w:tcPr>
            <w:tcW w:w="5000" w:type="pct"/>
            <w:tcBorders>
              <w:bottom w:val="single" w:sz="6" w:space="0" w:color="CCCCCC"/>
            </w:tcBorders>
            <w:vAlign w:val="center"/>
            <w:hideMark/>
          </w:tcPr>
          <w:p w:rsidR="008C4043" w:rsidRPr="008C4043" w:rsidRDefault="008C4043" w:rsidP="008C4043">
            <w:pPr>
              <w:spacing w:after="0" w:line="330" w:lineRule="atLeast"/>
              <w:jc w:val="both"/>
              <w:rPr>
                <w:rFonts w:ascii="Arial" w:eastAsia="Times New Roman" w:hAnsi="Arial" w:cs="Arial"/>
                <w:color w:val="000000"/>
                <w:sz w:val="23"/>
                <w:szCs w:val="23"/>
                <w:lang w:eastAsia="it-IT"/>
              </w:rPr>
            </w:pPr>
          </w:p>
          <w:p w:rsidR="008C4043" w:rsidRDefault="008C4043" w:rsidP="008C4043">
            <w:pPr>
              <w:spacing w:after="0" w:line="330" w:lineRule="atLeast"/>
              <w:jc w:val="both"/>
              <w:rPr>
                <w:rFonts w:ascii="Arial" w:eastAsia="Times New Roman" w:hAnsi="Arial" w:cs="Arial"/>
                <w:color w:val="000000"/>
                <w:sz w:val="23"/>
                <w:szCs w:val="23"/>
                <w:lang w:eastAsia="it-IT"/>
              </w:rPr>
            </w:pPr>
            <w:r w:rsidRPr="008C4043">
              <w:rPr>
                <w:rFonts w:ascii="Arial" w:eastAsia="Times New Roman" w:hAnsi="Arial" w:cs="Arial"/>
                <w:color w:val="000000"/>
                <w:sz w:val="23"/>
                <w:szCs w:val="23"/>
                <w:lang w:eastAsia="it-IT"/>
              </w:rPr>
              <w:t>Per il mondo del non profit si riapre il fronte europeo dell’</w:t>
            </w:r>
            <w:proofErr w:type="spellStart"/>
            <w:r w:rsidRPr="008C4043">
              <w:rPr>
                <w:rFonts w:ascii="Arial" w:eastAsia="Times New Roman" w:hAnsi="Arial" w:cs="Arial"/>
                <w:color w:val="000000"/>
                <w:sz w:val="23"/>
                <w:szCs w:val="23"/>
                <w:lang w:eastAsia="it-IT"/>
              </w:rPr>
              <w:t>Imu</w:t>
            </w:r>
            <w:proofErr w:type="spellEnd"/>
            <w:r w:rsidRPr="008C4043">
              <w:rPr>
                <w:rFonts w:ascii="Arial" w:eastAsia="Times New Roman" w:hAnsi="Arial" w:cs="Arial"/>
                <w:color w:val="000000"/>
                <w:sz w:val="23"/>
                <w:szCs w:val="23"/>
                <w:lang w:eastAsia="it-IT"/>
              </w:rPr>
              <w:t xml:space="preserve">. La Corte di Giustizia del Lussemburgo ha infatti dichiarato ammissibile un ricorso presentato contro la Commissione europea per il modo con cui nel 2012 era stato chiuso il contenzioso con l’Italia sulle esenzioni Ici e </w:t>
            </w:r>
            <w:proofErr w:type="spellStart"/>
            <w:r w:rsidRPr="008C4043">
              <w:rPr>
                <w:rFonts w:ascii="Arial" w:eastAsia="Times New Roman" w:hAnsi="Arial" w:cs="Arial"/>
                <w:color w:val="000000"/>
                <w:sz w:val="23"/>
                <w:szCs w:val="23"/>
                <w:lang w:eastAsia="it-IT"/>
              </w:rPr>
              <w:t>Imu</w:t>
            </w:r>
            <w:proofErr w:type="spellEnd"/>
            <w:r w:rsidRPr="008C4043">
              <w:rPr>
                <w:rFonts w:ascii="Arial" w:eastAsia="Times New Roman" w:hAnsi="Arial" w:cs="Arial"/>
                <w:color w:val="000000"/>
                <w:sz w:val="23"/>
                <w:szCs w:val="23"/>
                <w:lang w:eastAsia="it-IT"/>
              </w:rPr>
              <w:t xml:space="preserve">, valutando positivamente le novità allora introdotte in materia dal governo Monti. Per fare chiarezza sulla questione - che presenta tempi incerti e verosimilmente non brevi rispetto a una decisione definitiva - abbiamo posto alcune domande a </w:t>
            </w:r>
            <w:r w:rsidRPr="008C4043">
              <w:rPr>
                <w:rFonts w:ascii="Arial" w:eastAsia="Times New Roman" w:hAnsi="Arial" w:cs="Arial"/>
                <w:b/>
                <w:bCs/>
                <w:color w:val="000000"/>
                <w:sz w:val="23"/>
                <w:szCs w:val="23"/>
                <w:lang w:eastAsia="it-IT"/>
              </w:rPr>
              <w:t>Venerando Marano</w:t>
            </w:r>
            <w:r w:rsidRPr="008C4043">
              <w:rPr>
                <w:rFonts w:ascii="Arial" w:eastAsia="Times New Roman" w:hAnsi="Arial" w:cs="Arial"/>
                <w:color w:val="000000"/>
                <w:sz w:val="23"/>
                <w:szCs w:val="23"/>
                <w:lang w:eastAsia="it-IT"/>
              </w:rPr>
              <w:t>, ordinario di Diritto ecclesiastico e coordinatore dell’Osservatorio giuridico-legislativo della Conferenza episcopale italiana.</w:t>
            </w:r>
          </w:p>
          <w:p w:rsidR="008C4043" w:rsidRDefault="008C4043" w:rsidP="008C4043">
            <w:pPr>
              <w:spacing w:after="0" w:line="330" w:lineRule="atLeast"/>
              <w:jc w:val="both"/>
              <w:rPr>
                <w:rFonts w:ascii="Arial" w:eastAsia="Times New Roman" w:hAnsi="Arial" w:cs="Arial"/>
                <w:color w:val="000000"/>
                <w:sz w:val="23"/>
                <w:szCs w:val="23"/>
                <w:lang w:eastAsia="it-IT"/>
              </w:rPr>
            </w:pPr>
            <w:r w:rsidRPr="008C4043">
              <w:rPr>
                <w:rFonts w:ascii="Arial" w:eastAsia="Times New Roman" w:hAnsi="Arial" w:cs="Arial"/>
                <w:color w:val="000000"/>
                <w:sz w:val="23"/>
                <w:szCs w:val="23"/>
                <w:lang w:eastAsia="it-IT"/>
              </w:rPr>
              <w:br/>
            </w:r>
            <w:r w:rsidRPr="008C4043">
              <w:rPr>
                <w:rFonts w:ascii="Arial" w:eastAsia="Times New Roman" w:hAnsi="Arial" w:cs="Arial"/>
                <w:b/>
                <w:bCs/>
                <w:color w:val="000000"/>
                <w:sz w:val="23"/>
                <w:szCs w:val="23"/>
                <w:lang w:eastAsia="it-IT"/>
              </w:rPr>
              <w:t xml:space="preserve">Professore, può precisare i termini della controversia pendente dinanzi alla Corte di Lussemburgo? </w:t>
            </w:r>
            <w:r w:rsidRPr="008C4043">
              <w:rPr>
                <w:rFonts w:ascii="Arial" w:eastAsia="Times New Roman" w:hAnsi="Arial" w:cs="Arial"/>
                <w:color w:val="000000"/>
                <w:sz w:val="23"/>
                <w:szCs w:val="23"/>
                <w:lang w:eastAsia="it-IT"/>
              </w:rPr>
              <w:br/>
              <w:t>“La procedura è legata a due ricorsi per annullamento presentati ai sensi dell’art. 263 del Trattato sul funzionamento dell’Unione europea (</w:t>
            </w:r>
            <w:proofErr w:type="spellStart"/>
            <w:r w:rsidRPr="008C4043">
              <w:rPr>
                <w:rFonts w:ascii="Arial" w:eastAsia="Times New Roman" w:hAnsi="Arial" w:cs="Arial"/>
                <w:color w:val="000000"/>
                <w:sz w:val="23"/>
                <w:szCs w:val="23"/>
                <w:lang w:eastAsia="it-IT"/>
              </w:rPr>
              <w:t>Tfue</w:t>
            </w:r>
            <w:proofErr w:type="spellEnd"/>
            <w:r w:rsidRPr="008C4043">
              <w:rPr>
                <w:rFonts w:ascii="Arial" w:eastAsia="Times New Roman" w:hAnsi="Arial" w:cs="Arial"/>
                <w:color w:val="000000"/>
                <w:sz w:val="23"/>
                <w:szCs w:val="23"/>
                <w:lang w:eastAsia="it-IT"/>
              </w:rPr>
              <w:t>). I ricorsi vedono come convenuta la Commissione europea, rispetto alla nota decisione della stessa Commissione del 19 dicembre 2012. Tale decisione dichiara incompatibile con il mercato interno, senza peraltro ordinarne il recupero, gli aiuti concessi sulla base dell’esenzione dalla tassa comunale sugli immobili (Ici) a enti non commerciali destinati allo svolgimento di talune attività, e dichiara non costitutivi di aiuti di Stato il trattamento concesso alla Chiesa e ad alcune associazioni sportive tramite l’art. 149 del Testo unico delle imposte sul reddito (</w:t>
            </w:r>
            <w:proofErr w:type="spellStart"/>
            <w:r w:rsidRPr="008C4043">
              <w:rPr>
                <w:rFonts w:ascii="Arial" w:eastAsia="Times New Roman" w:hAnsi="Arial" w:cs="Arial"/>
                <w:color w:val="000000"/>
                <w:sz w:val="23"/>
                <w:szCs w:val="23"/>
                <w:lang w:eastAsia="it-IT"/>
              </w:rPr>
              <w:t>Tuir</w:t>
            </w:r>
            <w:proofErr w:type="spellEnd"/>
            <w:r w:rsidRPr="008C4043">
              <w:rPr>
                <w:rFonts w:ascii="Arial" w:eastAsia="Times New Roman" w:hAnsi="Arial" w:cs="Arial"/>
                <w:color w:val="000000"/>
                <w:sz w:val="23"/>
                <w:szCs w:val="23"/>
                <w:lang w:eastAsia="it-IT"/>
              </w:rPr>
              <w:t>), nonché l’esenzione dall’</w:t>
            </w:r>
            <w:proofErr w:type="spellStart"/>
            <w:r w:rsidRPr="008C4043">
              <w:rPr>
                <w:rFonts w:ascii="Arial" w:eastAsia="Times New Roman" w:hAnsi="Arial" w:cs="Arial"/>
                <w:color w:val="000000"/>
                <w:sz w:val="23"/>
                <w:szCs w:val="23"/>
                <w:lang w:eastAsia="it-IT"/>
              </w:rPr>
              <w:t>Imu</w:t>
            </w:r>
            <w:proofErr w:type="spellEnd"/>
            <w:r w:rsidRPr="008C4043">
              <w:rPr>
                <w:rFonts w:ascii="Arial" w:eastAsia="Times New Roman" w:hAnsi="Arial" w:cs="Arial"/>
                <w:color w:val="000000"/>
                <w:sz w:val="23"/>
                <w:szCs w:val="23"/>
                <w:lang w:eastAsia="it-IT"/>
              </w:rPr>
              <w:t xml:space="preserve"> concessa a taluni enti destinati allo svolgimento di specifiche attività”.</w:t>
            </w:r>
          </w:p>
          <w:p w:rsidR="008C4043" w:rsidRDefault="008C4043" w:rsidP="008C4043">
            <w:pPr>
              <w:spacing w:after="0" w:line="330" w:lineRule="atLeast"/>
              <w:jc w:val="both"/>
              <w:rPr>
                <w:rFonts w:ascii="Arial" w:eastAsia="Times New Roman" w:hAnsi="Arial" w:cs="Arial"/>
                <w:color w:val="000000"/>
                <w:sz w:val="23"/>
                <w:szCs w:val="23"/>
                <w:lang w:eastAsia="it-IT"/>
              </w:rPr>
            </w:pPr>
            <w:r w:rsidRPr="008C4043">
              <w:rPr>
                <w:rFonts w:ascii="Arial" w:eastAsia="Times New Roman" w:hAnsi="Arial" w:cs="Arial"/>
                <w:color w:val="000000"/>
                <w:sz w:val="23"/>
                <w:szCs w:val="23"/>
                <w:lang w:eastAsia="it-IT"/>
              </w:rPr>
              <w:br/>
            </w:r>
            <w:r w:rsidRPr="008C4043">
              <w:rPr>
                <w:rFonts w:ascii="Arial" w:eastAsia="Times New Roman" w:hAnsi="Arial" w:cs="Arial"/>
                <w:b/>
                <w:bCs/>
                <w:color w:val="000000"/>
                <w:sz w:val="23"/>
                <w:szCs w:val="23"/>
                <w:lang w:eastAsia="it-IT"/>
              </w:rPr>
              <w:t xml:space="preserve">Concretamente, quali sono i soggetti e le attività coinvolte dai ricorsi? </w:t>
            </w:r>
            <w:r w:rsidRPr="008C4043">
              <w:rPr>
                <w:rFonts w:ascii="Arial" w:eastAsia="Times New Roman" w:hAnsi="Arial" w:cs="Arial"/>
                <w:color w:val="000000"/>
                <w:sz w:val="23"/>
                <w:szCs w:val="23"/>
                <w:lang w:eastAsia="it-IT"/>
              </w:rPr>
              <w:br/>
              <w:t>“Sono tutti gli enti non profit che svolgono con modalità non commerciali determinate attività previste dalla legge. Il carattere non commerciale dell’attività deriva dalla rispondenza a rigorosi criteri fissati dalla legge. I principi sono chiari e orientati ad evitare sia forme di esenzione indebita sia gravami fiscali non dovuti che potrebbero incidere negativamente su attività di forte rilievo sociale”</w:t>
            </w:r>
          </w:p>
          <w:p w:rsidR="008C4043" w:rsidRPr="008C4043" w:rsidRDefault="008C4043" w:rsidP="008C4043">
            <w:pPr>
              <w:spacing w:after="0" w:line="330" w:lineRule="atLeast"/>
              <w:jc w:val="both"/>
              <w:rPr>
                <w:rFonts w:ascii="Arial" w:eastAsia="Times New Roman" w:hAnsi="Arial" w:cs="Arial"/>
                <w:color w:val="000000"/>
                <w:sz w:val="23"/>
                <w:szCs w:val="23"/>
                <w:lang w:eastAsia="it-IT"/>
              </w:rPr>
            </w:pPr>
            <w:bookmarkStart w:id="0" w:name="_GoBack"/>
            <w:bookmarkEnd w:id="0"/>
            <w:r w:rsidRPr="008C4043">
              <w:rPr>
                <w:rFonts w:ascii="Arial" w:eastAsia="Times New Roman" w:hAnsi="Arial" w:cs="Arial"/>
                <w:color w:val="000000"/>
                <w:sz w:val="23"/>
                <w:szCs w:val="23"/>
                <w:lang w:eastAsia="it-IT"/>
              </w:rPr>
              <w:lastRenderedPageBreak/>
              <w:br/>
            </w:r>
            <w:r w:rsidRPr="008C4043">
              <w:rPr>
                <w:rFonts w:ascii="Arial" w:eastAsia="Times New Roman" w:hAnsi="Arial" w:cs="Arial"/>
                <w:b/>
                <w:bCs/>
                <w:color w:val="000000"/>
                <w:sz w:val="23"/>
                <w:szCs w:val="23"/>
                <w:lang w:eastAsia="it-IT"/>
              </w:rPr>
              <w:t xml:space="preserve">In questo quadro, qual è la condizione degli enti ecclesiastici? Quale la posizione della Chiesa? </w:t>
            </w:r>
            <w:r w:rsidRPr="008C4043">
              <w:rPr>
                <w:rFonts w:ascii="Arial" w:eastAsia="Times New Roman" w:hAnsi="Arial" w:cs="Arial"/>
                <w:color w:val="000000"/>
                <w:sz w:val="23"/>
                <w:szCs w:val="23"/>
                <w:lang w:eastAsia="it-IT"/>
              </w:rPr>
              <w:br/>
              <w:t xml:space="preserve">“Secondo il diritto vigente, per le attività degli enti ecclesiastici diverse da quelle di religione o di culto - istruzione, sanità o altro - occorre verificare in concreto se il tipo di attività e le modalità con le quali viene svolta rientrano nelle previsioni della normativa introdotta dal governo Monti. La tesi secondo cui tale normativa non risulta in linea con la legislazione dell’Unione europea suscita riserve ma dovrà essere valutata con molta ponderazione. In linea più generale, l’esigenza di fare chiarezza ed evitare abusi deve coniugarsi alla necessità di evitare letture ideologiche e fuorvianti e alla consapevolezza del grande valore sociale di talune attività. In tal senso risulta chiaramente orientata la posizione della Chiesa riguardo ai suoi enti, che, come è stato ricordato a suo tempo dal presidente della </w:t>
            </w:r>
            <w:proofErr w:type="spellStart"/>
            <w:r w:rsidRPr="008C4043">
              <w:rPr>
                <w:rFonts w:ascii="Arial" w:eastAsia="Times New Roman" w:hAnsi="Arial" w:cs="Arial"/>
                <w:color w:val="000000"/>
                <w:sz w:val="23"/>
                <w:szCs w:val="23"/>
                <w:lang w:eastAsia="it-IT"/>
              </w:rPr>
              <w:t>Cei</w:t>
            </w:r>
            <w:proofErr w:type="spellEnd"/>
            <w:r w:rsidRPr="008C4043">
              <w:rPr>
                <w:rFonts w:ascii="Arial" w:eastAsia="Times New Roman" w:hAnsi="Arial" w:cs="Arial"/>
                <w:color w:val="000000"/>
                <w:sz w:val="23"/>
                <w:szCs w:val="23"/>
                <w:lang w:eastAsia="it-IT"/>
              </w:rPr>
              <w:t xml:space="preserve"> cardinale Bagnasco e oggi nuovamente dal Segretario generale </w:t>
            </w:r>
            <w:proofErr w:type="spellStart"/>
            <w:r w:rsidRPr="008C4043">
              <w:rPr>
                <w:rFonts w:ascii="Arial" w:eastAsia="Times New Roman" w:hAnsi="Arial" w:cs="Arial"/>
                <w:color w:val="000000"/>
                <w:sz w:val="23"/>
                <w:szCs w:val="23"/>
                <w:lang w:eastAsia="it-IT"/>
              </w:rPr>
              <w:t>mons</w:t>
            </w:r>
            <w:proofErr w:type="spellEnd"/>
            <w:r w:rsidRPr="008C4043">
              <w:rPr>
                <w:rFonts w:ascii="Arial" w:eastAsia="Times New Roman" w:hAnsi="Arial" w:cs="Arial"/>
                <w:color w:val="000000"/>
                <w:sz w:val="23"/>
                <w:szCs w:val="23"/>
                <w:lang w:eastAsia="it-IT"/>
              </w:rPr>
              <w:t>. Galantino, pagano già l’</w:t>
            </w:r>
            <w:proofErr w:type="spellStart"/>
            <w:r w:rsidRPr="008C4043">
              <w:rPr>
                <w:rFonts w:ascii="Arial" w:eastAsia="Times New Roman" w:hAnsi="Arial" w:cs="Arial"/>
                <w:color w:val="000000"/>
                <w:sz w:val="23"/>
                <w:szCs w:val="23"/>
                <w:lang w:eastAsia="it-IT"/>
              </w:rPr>
              <w:t>Imu</w:t>
            </w:r>
            <w:proofErr w:type="spellEnd"/>
            <w:r w:rsidRPr="008C4043">
              <w:rPr>
                <w:rFonts w:ascii="Arial" w:eastAsia="Times New Roman" w:hAnsi="Arial" w:cs="Arial"/>
                <w:color w:val="000000"/>
                <w:sz w:val="23"/>
                <w:szCs w:val="23"/>
                <w:lang w:eastAsia="it-IT"/>
              </w:rPr>
              <w:t xml:space="preserve"> dovuta per tutte le realtà commerciali</w:t>
            </w:r>
            <w:r>
              <w:rPr>
                <w:rFonts w:ascii="Arial" w:eastAsia="Times New Roman" w:hAnsi="Arial" w:cs="Arial"/>
                <w:color w:val="000000"/>
                <w:sz w:val="23"/>
                <w:szCs w:val="23"/>
                <w:lang w:eastAsia="it-IT"/>
              </w:rPr>
              <w:t>.”</w:t>
            </w:r>
          </w:p>
        </w:tc>
      </w:tr>
    </w:tbl>
    <w:p w:rsidR="00D005A8" w:rsidRDefault="00D005A8" w:rsidP="008C4043">
      <w:pPr>
        <w:jc w:val="both"/>
      </w:pPr>
    </w:p>
    <w:sectPr w:rsidR="00D005A8">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4043"/>
    <w:rsid w:val="008C4043"/>
    <w:rsid w:val="00D005A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8C4043"/>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C404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8C4043"/>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C40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0898084">
      <w:bodyDiv w:val="1"/>
      <w:marLeft w:val="0"/>
      <w:marRight w:val="0"/>
      <w:marTop w:val="0"/>
      <w:marBottom w:val="0"/>
      <w:divBdr>
        <w:top w:val="none" w:sz="0" w:space="0" w:color="auto"/>
        <w:left w:val="none" w:sz="0" w:space="0" w:color="auto"/>
        <w:bottom w:val="none" w:sz="0" w:space="0" w:color="auto"/>
        <w:right w:val="none" w:sz="0" w:space="0" w:color="auto"/>
      </w:divBdr>
      <w:divsChild>
        <w:div w:id="54857839">
          <w:marLeft w:val="0"/>
          <w:marRight w:val="0"/>
          <w:marTop w:val="45"/>
          <w:marBottom w:val="0"/>
          <w:divBdr>
            <w:top w:val="none" w:sz="0" w:space="0" w:color="auto"/>
            <w:left w:val="none" w:sz="0" w:space="0" w:color="auto"/>
            <w:bottom w:val="none" w:sz="0" w:space="0" w:color="auto"/>
            <w:right w:val="none" w:sz="0" w:space="0" w:color="auto"/>
          </w:divBdr>
          <w:divsChild>
            <w:div w:id="26607876">
              <w:marLeft w:val="0"/>
              <w:marRight w:val="0"/>
              <w:marTop w:val="0"/>
              <w:marBottom w:val="0"/>
              <w:divBdr>
                <w:top w:val="none" w:sz="0" w:space="0" w:color="auto"/>
                <w:left w:val="none" w:sz="0" w:space="0" w:color="auto"/>
                <w:bottom w:val="none" w:sz="0" w:space="0" w:color="auto"/>
                <w:right w:val="none" w:sz="0" w:space="0" w:color="auto"/>
              </w:divBdr>
            </w:div>
          </w:divsChild>
        </w:div>
        <w:div w:id="330909101">
          <w:marLeft w:val="0"/>
          <w:marRight w:val="0"/>
          <w:marTop w:val="75"/>
          <w:marBottom w:val="75"/>
          <w:divBdr>
            <w:top w:val="none" w:sz="0" w:space="0" w:color="auto"/>
            <w:left w:val="none" w:sz="0" w:space="0" w:color="auto"/>
            <w:bottom w:val="none" w:sz="0" w:space="0" w:color="auto"/>
            <w:right w:val="none" w:sz="0" w:space="0" w:color="auto"/>
          </w:divBdr>
          <w:divsChild>
            <w:div w:id="1876690818">
              <w:marLeft w:val="0"/>
              <w:marRight w:val="0"/>
              <w:marTop w:val="0"/>
              <w:marBottom w:val="0"/>
              <w:divBdr>
                <w:top w:val="none" w:sz="0" w:space="0" w:color="auto"/>
                <w:left w:val="none" w:sz="0" w:space="0" w:color="auto"/>
                <w:bottom w:val="none" w:sz="0" w:space="0" w:color="auto"/>
                <w:right w:val="none" w:sz="0" w:space="0" w:color="auto"/>
              </w:divBdr>
            </w:div>
          </w:divsChild>
        </w:div>
        <w:div w:id="359865535">
          <w:marLeft w:val="0"/>
          <w:marRight w:val="0"/>
          <w:marTop w:val="0"/>
          <w:marBottom w:val="405"/>
          <w:divBdr>
            <w:top w:val="none" w:sz="0" w:space="0" w:color="auto"/>
            <w:left w:val="none" w:sz="0" w:space="0" w:color="auto"/>
            <w:bottom w:val="none" w:sz="0" w:space="0" w:color="auto"/>
            <w:right w:val="none" w:sz="0" w:space="0" w:color="auto"/>
          </w:divBdr>
          <w:divsChild>
            <w:div w:id="480732244">
              <w:marLeft w:val="0"/>
              <w:marRight w:val="0"/>
              <w:marTop w:val="0"/>
              <w:marBottom w:val="0"/>
              <w:divBdr>
                <w:top w:val="none" w:sz="0" w:space="0" w:color="auto"/>
                <w:left w:val="none" w:sz="0" w:space="0" w:color="auto"/>
                <w:bottom w:val="none" w:sz="0" w:space="0" w:color="auto"/>
                <w:right w:val="none" w:sz="0" w:space="0" w:color="auto"/>
              </w:divBdr>
            </w:div>
          </w:divsChild>
        </w:div>
        <w:div w:id="2136677227">
          <w:marLeft w:val="0"/>
          <w:marRight w:val="0"/>
          <w:marTop w:val="0"/>
          <w:marBottom w:val="0"/>
          <w:divBdr>
            <w:top w:val="none" w:sz="0" w:space="0" w:color="auto"/>
            <w:left w:val="none" w:sz="0" w:space="0" w:color="auto"/>
            <w:bottom w:val="none" w:sz="0" w:space="0" w:color="auto"/>
            <w:right w:val="none" w:sz="0" w:space="0" w:color="auto"/>
          </w:divBdr>
          <w:divsChild>
            <w:div w:id="1271281681">
              <w:marLeft w:val="0"/>
              <w:marRight w:val="0"/>
              <w:marTop w:val="0"/>
              <w:marBottom w:val="0"/>
              <w:divBdr>
                <w:top w:val="none" w:sz="0" w:space="0" w:color="auto"/>
                <w:left w:val="none" w:sz="0" w:space="0" w:color="auto"/>
                <w:bottom w:val="none" w:sz="0" w:space="0" w:color="auto"/>
                <w:right w:val="none" w:sz="0" w:space="0" w:color="auto"/>
              </w:divBdr>
            </w:div>
          </w:divsChild>
        </w:div>
        <w:div w:id="17875047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556</Words>
  <Characters>3172</Characters>
  <Application>Microsoft Office Word</Application>
  <DocSecurity>0</DocSecurity>
  <Lines>26</Lines>
  <Paragraphs>7</Paragraphs>
  <ScaleCrop>false</ScaleCrop>
  <Company>Hewlett-Packard Company</Company>
  <LinksUpToDate>false</LinksUpToDate>
  <CharactersWithSpaces>3721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Teresa Viola</dc:creator>
  <cp:lastModifiedBy>Maria Teresa Viola</cp:lastModifiedBy>
  <cp:revision>1</cp:revision>
  <dcterms:created xsi:type="dcterms:W3CDTF">2014-11-07T11:15:00Z</dcterms:created>
  <dcterms:modified xsi:type="dcterms:W3CDTF">2014-11-07T11:18:00Z</dcterms:modified>
</cp:coreProperties>
</file>