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7D7" w:rsidRPr="006552D8" w:rsidRDefault="006552D8" w:rsidP="006552D8">
      <w:pPr>
        <w:rPr>
          <w:rFonts w:ascii="Arial" w:hAnsi="Arial" w:cs="Arial"/>
          <w:b/>
          <w:sz w:val="24"/>
          <w:szCs w:val="24"/>
        </w:rPr>
      </w:pPr>
      <w:r w:rsidRPr="006552D8">
        <w:rPr>
          <w:rFonts w:ascii="Arial" w:hAnsi="Arial" w:cs="Arial"/>
          <w:b/>
          <w:sz w:val="24"/>
          <w:szCs w:val="24"/>
        </w:rPr>
        <w:t>Bioetica e modello personalista</w:t>
      </w:r>
    </w:p>
    <w:p w:rsidR="006552D8" w:rsidRPr="006552D8" w:rsidRDefault="006552D8" w:rsidP="006552D8">
      <w:pPr>
        <w:rPr>
          <w:rFonts w:ascii="Arial" w:hAnsi="Arial" w:cs="Arial"/>
          <w:sz w:val="24"/>
          <w:szCs w:val="24"/>
        </w:rPr>
      </w:pPr>
    </w:p>
    <w:p w:rsidR="006552D8" w:rsidRDefault="006552D8" w:rsidP="006552D8">
      <w:pPr>
        <w:rPr>
          <w:rFonts w:ascii="Arial" w:hAnsi="Arial" w:cs="Arial"/>
          <w:i/>
          <w:sz w:val="24"/>
          <w:szCs w:val="24"/>
        </w:rPr>
      </w:pPr>
      <w:r w:rsidRPr="006552D8">
        <w:rPr>
          <w:rFonts w:ascii="Arial" w:hAnsi="Arial" w:cs="Arial"/>
          <w:sz w:val="24"/>
          <w:szCs w:val="24"/>
        </w:rPr>
        <w:t xml:space="preserve">La centralità dell’uomo come valore assoluto, e di conseguenza, l’approccio integrale alla persona  sta alla base della corrente di pensiero denominata </w:t>
      </w:r>
      <w:r>
        <w:rPr>
          <w:rFonts w:ascii="Arial" w:hAnsi="Arial" w:cs="Arial"/>
          <w:sz w:val="24"/>
          <w:szCs w:val="24"/>
        </w:rPr>
        <w:t>“P</w:t>
      </w:r>
      <w:r w:rsidRPr="006552D8">
        <w:rPr>
          <w:rFonts w:ascii="Arial" w:hAnsi="Arial" w:cs="Arial"/>
          <w:sz w:val="24"/>
          <w:szCs w:val="24"/>
        </w:rPr>
        <w:t>ersonalismo</w:t>
      </w:r>
      <w:r>
        <w:rPr>
          <w:rFonts w:ascii="Arial" w:hAnsi="Arial" w:cs="Arial"/>
          <w:sz w:val="24"/>
          <w:szCs w:val="24"/>
        </w:rPr>
        <w:t xml:space="preserve">”, in particolare quello </w:t>
      </w:r>
      <w:r w:rsidRPr="006552D8">
        <w:rPr>
          <w:rFonts w:ascii="Arial" w:hAnsi="Arial" w:cs="Arial"/>
          <w:sz w:val="24"/>
          <w:szCs w:val="24"/>
        </w:rPr>
        <w:t xml:space="preserve">“Ontologico” che ha come figure imminenti  E. </w:t>
      </w:r>
      <w:proofErr w:type="spellStart"/>
      <w:r w:rsidRPr="006552D8">
        <w:rPr>
          <w:rFonts w:ascii="Arial" w:hAnsi="Arial" w:cs="Arial"/>
          <w:sz w:val="24"/>
          <w:szCs w:val="24"/>
        </w:rPr>
        <w:t>Mounier</w:t>
      </w:r>
      <w:proofErr w:type="spellEnd"/>
      <w:r w:rsidRPr="006552D8">
        <w:rPr>
          <w:rFonts w:ascii="Arial" w:hAnsi="Arial" w:cs="Arial"/>
          <w:sz w:val="24"/>
          <w:szCs w:val="24"/>
        </w:rPr>
        <w:t>, J. Maritain e A</w:t>
      </w:r>
      <w:r w:rsidR="002212BE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  <w:r w:rsidRPr="006552D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52D8">
        <w:rPr>
          <w:rFonts w:ascii="Arial" w:hAnsi="Arial" w:cs="Arial"/>
          <w:sz w:val="24"/>
          <w:szCs w:val="24"/>
        </w:rPr>
        <w:t>Rosmini</w:t>
      </w:r>
      <w:proofErr w:type="spellEnd"/>
      <w:r>
        <w:rPr>
          <w:rFonts w:ascii="Arial" w:hAnsi="Arial" w:cs="Arial"/>
          <w:i/>
          <w:sz w:val="24"/>
          <w:szCs w:val="24"/>
        </w:rPr>
        <w:t>.</w:t>
      </w:r>
    </w:p>
    <w:p w:rsidR="006552D8" w:rsidRPr="006552D8" w:rsidRDefault="006552D8" w:rsidP="006552D8">
      <w:pPr>
        <w:rPr>
          <w:rFonts w:ascii="Arial" w:hAnsi="Arial" w:cs="Arial"/>
          <w:sz w:val="24"/>
          <w:szCs w:val="24"/>
        </w:rPr>
      </w:pPr>
      <w:r w:rsidRPr="006552D8">
        <w:rPr>
          <w:rFonts w:ascii="Arial" w:hAnsi="Arial" w:cs="Arial"/>
          <w:sz w:val="24"/>
          <w:szCs w:val="24"/>
        </w:rPr>
        <w:t xml:space="preserve">“Il personalismo - scrive </w:t>
      </w:r>
      <w:proofErr w:type="spellStart"/>
      <w:r w:rsidRPr="006552D8">
        <w:rPr>
          <w:rFonts w:ascii="Arial" w:hAnsi="Arial" w:cs="Arial"/>
          <w:sz w:val="24"/>
          <w:szCs w:val="24"/>
        </w:rPr>
        <w:t>Mounier</w:t>
      </w:r>
      <w:proofErr w:type="spellEnd"/>
      <w:r w:rsidRPr="006552D8">
        <w:rPr>
          <w:rFonts w:ascii="Arial" w:hAnsi="Arial" w:cs="Arial"/>
          <w:sz w:val="24"/>
          <w:szCs w:val="24"/>
        </w:rPr>
        <w:t xml:space="preserve"> - è uno sforzo integrale per comprendere e per superare la crisi dell’uomo nella sua totalità”</w:t>
      </w:r>
      <w:r>
        <w:rPr>
          <w:rFonts w:ascii="Arial" w:hAnsi="Arial" w:cs="Arial"/>
          <w:sz w:val="24"/>
          <w:szCs w:val="24"/>
        </w:rPr>
        <w:t xml:space="preserve"> (</w:t>
      </w:r>
      <w:r w:rsidRPr="006552D8">
        <w:rPr>
          <w:rFonts w:ascii="Arial" w:hAnsi="Arial" w:cs="Arial"/>
          <w:i/>
          <w:sz w:val="24"/>
          <w:szCs w:val="24"/>
        </w:rPr>
        <w:t xml:space="preserve">Il Rinascimento, </w:t>
      </w:r>
      <w:r w:rsidRPr="006552D8">
        <w:rPr>
          <w:rFonts w:ascii="Arial" w:hAnsi="Arial" w:cs="Arial"/>
          <w:sz w:val="24"/>
          <w:szCs w:val="24"/>
        </w:rPr>
        <w:t>Esprit 1</w:t>
      </w:r>
      <w:r>
        <w:rPr>
          <w:rFonts w:ascii="Arial" w:hAnsi="Arial" w:cs="Arial"/>
          <w:sz w:val="24"/>
          <w:szCs w:val="24"/>
        </w:rPr>
        <w:t>,</w:t>
      </w:r>
      <w:r w:rsidRPr="006552D8">
        <w:rPr>
          <w:rFonts w:ascii="Arial" w:hAnsi="Arial" w:cs="Arial"/>
          <w:sz w:val="24"/>
          <w:szCs w:val="24"/>
        </w:rPr>
        <w:t>1932</w:t>
      </w:r>
      <w:r>
        <w:rPr>
          <w:rFonts w:ascii="Arial" w:hAnsi="Arial" w:cs="Arial"/>
          <w:sz w:val="24"/>
          <w:szCs w:val="24"/>
        </w:rPr>
        <w:t>,</w:t>
      </w:r>
      <w:r w:rsidRPr="006552D8">
        <w:rPr>
          <w:rFonts w:ascii="Arial" w:hAnsi="Arial" w:cs="Arial"/>
          <w:sz w:val="24"/>
          <w:szCs w:val="24"/>
        </w:rPr>
        <w:t xml:space="preserve"> 12</w:t>
      </w:r>
      <w:r>
        <w:rPr>
          <w:rFonts w:ascii="Arial" w:hAnsi="Arial" w:cs="Arial"/>
          <w:sz w:val="24"/>
          <w:szCs w:val="24"/>
        </w:rPr>
        <w:t>)</w:t>
      </w:r>
      <w:r w:rsidRPr="006552D8">
        <w:rPr>
          <w:rFonts w:ascii="Arial" w:hAnsi="Arial" w:cs="Arial"/>
          <w:sz w:val="24"/>
          <w:szCs w:val="24"/>
        </w:rPr>
        <w:t>. “Uomo”, inteso come “una tensione fra le sue tre dimensioni: quella che sale dal basso e l’incarna in un corpo; quella che è diretta verso l’alto e la solleva ad un universale; quella che è diretta verso il largo e la porta verso una comunione. Vocazione, incarnazione, comunione sono le tre dimensioni della persona”</w:t>
      </w:r>
      <w:r>
        <w:rPr>
          <w:rFonts w:ascii="Arial" w:hAnsi="Arial" w:cs="Arial"/>
          <w:sz w:val="24"/>
          <w:szCs w:val="24"/>
        </w:rPr>
        <w:t xml:space="preserve"> (</w:t>
      </w:r>
      <w:r w:rsidRPr="006552D8">
        <w:rPr>
          <w:rFonts w:ascii="Arial" w:hAnsi="Arial" w:cs="Arial"/>
          <w:i/>
          <w:sz w:val="24"/>
          <w:szCs w:val="24"/>
        </w:rPr>
        <w:t xml:space="preserve">Le </w:t>
      </w:r>
      <w:proofErr w:type="spellStart"/>
      <w:r w:rsidRPr="006552D8">
        <w:rPr>
          <w:rFonts w:ascii="Arial" w:hAnsi="Arial" w:cs="Arial"/>
          <w:i/>
          <w:sz w:val="24"/>
          <w:szCs w:val="24"/>
        </w:rPr>
        <w:t>personnalisme</w:t>
      </w:r>
      <w:proofErr w:type="spellEnd"/>
      <w:r w:rsidRPr="006552D8">
        <w:rPr>
          <w:rFonts w:ascii="Arial" w:hAnsi="Arial" w:cs="Arial"/>
          <w:i/>
          <w:sz w:val="24"/>
          <w:szCs w:val="24"/>
        </w:rPr>
        <w:t xml:space="preserve">, </w:t>
      </w:r>
      <w:proofErr w:type="spellStart"/>
      <w:r w:rsidRPr="006552D8">
        <w:rPr>
          <w:rFonts w:ascii="Arial" w:hAnsi="Arial" w:cs="Arial"/>
          <w:sz w:val="24"/>
          <w:szCs w:val="24"/>
        </w:rPr>
        <w:t>Presses</w:t>
      </w:r>
      <w:proofErr w:type="spellEnd"/>
      <w:r w:rsidRPr="006552D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52D8">
        <w:rPr>
          <w:rFonts w:ascii="Arial" w:hAnsi="Arial" w:cs="Arial"/>
          <w:sz w:val="24"/>
          <w:szCs w:val="24"/>
        </w:rPr>
        <w:t>Universitaires</w:t>
      </w:r>
      <w:proofErr w:type="spellEnd"/>
      <w:r w:rsidRPr="006552D8">
        <w:rPr>
          <w:rFonts w:ascii="Arial" w:hAnsi="Arial" w:cs="Arial"/>
          <w:sz w:val="24"/>
          <w:szCs w:val="24"/>
        </w:rPr>
        <w:t xml:space="preserve"> de France, Paris 1950, 53</w:t>
      </w:r>
      <w:r>
        <w:rPr>
          <w:rFonts w:ascii="Arial" w:hAnsi="Arial" w:cs="Arial"/>
          <w:sz w:val="24"/>
          <w:szCs w:val="24"/>
        </w:rPr>
        <w:t>)</w:t>
      </w:r>
      <w:r w:rsidRPr="006552D8">
        <w:rPr>
          <w:rFonts w:ascii="Arial" w:hAnsi="Arial" w:cs="Arial"/>
          <w:sz w:val="24"/>
          <w:szCs w:val="24"/>
        </w:rPr>
        <w:t>.</w:t>
      </w:r>
    </w:p>
    <w:p w:rsidR="006552D8" w:rsidRPr="006552D8" w:rsidRDefault="006552D8" w:rsidP="006552D8">
      <w:pPr>
        <w:rPr>
          <w:rFonts w:ascii="Arial" w:hAnsi="Arial" w:cs="Arial"/>
          <w:sz w:val="24"/>
          <w:szCs w:val="24"/>
        </w:rPr>
      </w:pPr>
      <w:r w:rsidRPr="006552D8">
        <w:rPr>
          <w:rFonts w:ascii="Arial" w:hAnsi="Arial" w:cs="Arial"/>
          <w:sz w:val="24"/>
          <w:szCs w:val="24"/>
        </w:rPr>
        <w:t xml:space="preserve">Quello di </w:t>
      </w:r>
      <w:proofErr w:type="spellStart"/>
      <w:r w:rsidRPr="006552D8">
        <w:rPr>
          <w:rFonts w:ascii="Arial" w:hAnsi="Arial" w:cs="Arial"/>
          <w:sz w:val="24"/>
          <w:szCs w:val="24"/>
        </w:rPr>
        <w:t>Mounier</w:t>
      </w:r>
      <w:proofErr w:type="spellEnd"/>
      <w:r w:rsidRPr="006552D8">
        <w:rPr>
          <w:rFonts w:ascii="Arial" w:hAnsi="Arial" w:cs="Arial"/>
          <w:sz w:val="24"/>
          <w:szCs w:val="24"/>
        </w:rPr>
        <w:t xml:space="preserve"> è anche un </w:t>
      </w:r>
      <w:r>
        <w:rPr>
          <w:rFonts w:ascii="Arial" w:hAnsi="Arial" w:cs="Arial"/>
          <w:sz w:val="24"/>
          <w:szCs w:val="24"/>
        </w:rPr>
        <w:t>“</w:t>
      </w:r>
      <w:r w:rsidRPr="006552D8">
        <w:rPr>
          <w:rFonts w:ascii="Arial" w:hAnsi="Arial" w:cs="Arial"/>
          <w:sz w:val="24"/>
          <w:szCs w:val="24"/>
        </w:rPr>
        <w:t>personalismo comunitario</w:t>
      </w:r>
      <w:r>
        <w:rPr>
          <w:rFonts w:ascii="Arial" w:hAnsi="Arial" w:cs="Arial"/>
          <w:sz w:val="24"/>
          <w:szCs w:val="24"/>
        </w:rPr>
        <w:t>”</w:t>
      </w:r>
      <w:r w:rsidRPr="006552D8">
        <w:rPr>
          <w:rFonts w:ascii="Arial" w:hAnsi="Arial" w:cs="Arial"/>
          <w:sz w:val="24"/>
          <w:szCs w:val="24"/>
        </w:rPr>
        <w:t xml:space="preserve">; nel suo pensiero la persona non è un’entità giuridica da difendere nei confronti della collettività, ma un soggetto impegnato fin dalla nascita in una comunità. </w:t>
      </w:r>
    </w:p>
    <w:p w:rsidR="006552D8" w:rsidRPr="006552D8" w:rsidRDefault="006552D8" w:rsidP="006552D8">
      <w:pPr>
        <w:rPr>
          <w:rFonts w:ascii="Arial" w:hAnsi="Arial" w:cs="Arial"/>
          <w:sz w:val="24"/>
          <w:szCs w:val="24"/>
        </w:rPr>
      </w:pPr>
      <w:r w:rsidRPr="006552D8">
        <w:rPr>
          <w:rFonts w:ascii="Arial" w:hAnsi="Arial" w:cs="Arial"/>
          <w:sz w:val="24"/>
          <w:szCs w:val="24"/>
        </w:rPr>
        <w:t xml:space="preserve">Il concetto di personalismo fu approfondito anche da </w:t>
      </w:r>
      <w:r w:rsidRPr="002212BE">
        <w:rPr>
          <w:rFonts w:ascii="Arial" w:hAnsi="Arial" w:cs="Arial"/>
          <w:sz w:val="24"/>
          <w:szCs w:val="24"/>
        </w:rPr>
        <w:t>Maritain</w:t>
      </w:r>
      <w:r w:rsidRPr="006552D8">
        <w:rPr>
          <w:rFonts w:ascii="Arial" w:hAnsi="Arial" w:cs="Arial"/>
          <w:sz w:val="24"/>
          <w:szCs w:val="24"/>
        </w:rPr>
        <w:t xml:space="preserve"> in </w:t>
      </w:r>
      <w:r w:rsidR="002212BE">
        <w:rPr>
          <w:rFonts w:ascii="Arial" w:hAnsi="Arial" w:cs="Arial"/>
          <w:sz w:val="24"/>
          <w:szCs w:val="24"/>
        </w:rPr>
        <w:t>“</w:t>
      </w:r>
      <w:r w:rsidRPr="002212BE">
        <w:rPr>
          <w:rFonts w:ascii="Arial" w:hAnsi="Arial" w:cs="Arial"/>
          <w:sz w:val="24"/>
          <w:szCs w:val="24"/>
        </w:rPr>
        <w:t>Umanesimo integrale</w:t>
      </w:r>
      <w:r w:rsidR="002212BE">
        <w:rPr>
          <w:rFonts w:ascii="Arial" w:hAnsi="Arial" w:cs="Arial"/>
          <w:sz w:val="24"/>
          <w:szCs w:val="24"/>
        </w:rPr>
        <w:t>”</w:t>
      </w:r>
      <w:r w:rsidRPr="006552D8">
        <w:rPr>
          <w:rFonts w:ascii="Arial" w:hAnsi="Arial" w:cs="Arial"/>
          <w:sz w:val="24"/>
          <w:szCs w:val="24"/>
        </w:rPr>
        <w:t>: “Serve uno Stato nel quale il profano e il temporale abbiano pienamente il loro compito e la loro dignità di fine e di agente prioritario, ma non di fine ultimo e di agente principale”</w:t>
      </w:r>
      <w:r w:rsidR="002212BE">
        <w:rPr>
          <w:rFonts w:ascii="Arial" w:hAnsi="Arial" w:cs="Arial"/>
          <w:sz w:val="24"/>
          <w:szCs w:val="24"/>
        </w:rPr>
        <w:t xml:space="preserve"> (</w:t>
      </w:r>
      <w:r w:rsidR="002212BE" w:rsidRPr="002212BE">
        <w:rPr>
          <w:rFonts w:ascii="Arial" w:hAnsi="Arial" w:cs="Arial"/>
          <w:i/>
          <w:sz w:val="24"/>
          <w:szCs w:val="24"/>
        </w:rPr>
        <w:t xml:space="preserve">Umanesimo integrale, </w:t>
      </w:r>
      <w:r w:rsidR="002212BE" w:rsidRPr="002212BE">
        <w:rPr>
          <w:rFonts w:ascii="Arial" w:hAnsi="Arial" w:cs="Arial"/>
          <w:sz w:val="24"/>
          <w:szCs w:val="24"/>
        </w:rPr>
        <w:t>Borla, Torino 2002, 40</w:t>
      </w:r>
      <w:r w:rsidR="002212BE">
        <w:rPr>
          <w:rFonts w:ascii="Arial" w:hAnsi="Arial" w:cs="Arial"/>
          <w:sz w:val="24"/>
          <w:szCs w:val="24"/>
        </w:rPr>
        <w:t xml:space="preserve">). </w:t>
      </w:r>
      <w:r w:rsidRPr="006552D8">
        <w:rPr>
          <w:rFonts w:ascii="Arial" w:hAnsi="Arial" w:cs="Arial"/>
          <w:sz w:val="24"/>
          <w:szCs w:val="24"/>
        </w:rPr>
        <w:t xml:space="preserve">Ed ampliando il discorso, </w:t>
      </w:r>
      <w:r w:rsidRPr="002212BE">
        <w:rPr>
          <w:rFonts w:ascii="Arial" w:hAnsi="Arial" w:cs="Arial"/>
          <w:sz w:val="24"/>
          <w:szCs w:val="24"/>
        </w:rPr>
        <w:t>Maritain,</w:t>
      </w:r>
      <w:r w:rsidRPr="006552D8">
        <w:rPr>
          <w:rFonts w:ascii="Arial" w:hAnsi="Arial" w:cs="Arial"/>
          <w:sz w:val="24"/>
          <w:szCs w:val="24"/>
        </w:rPr>
        <w:t xml:space="preserve"> ammoniva: “Di fatto, l’uso dei mezzi tecnici non può essere realmente vantaggioso, né quello delle scienze pratiche ben diretto, senza il possesso di lumi generali sulla natura e sull’uomo. La medicina, l’igiene pubblica, la psichiatria, sono estrinseche – il diritto, la sociologia, le scienze economiche e politiche, la pedagogia, sono intrinsecamente – subordinate alla morale e al diritto naturale, e la verità stessa di ogni conoscenza che concerne la condotta umana implica un retto giudizio sui fini della vita umana, vale a dire una vera conoscenza della filosofia morale e politica che, a sua volta, presuppone la metafisica”</w:t>
      </w:r>
      <w:r w:rsidR="002212BE">
        <w:rPr>
          <w:rFonts w:ascii="Arial" w:hAnsi="Arial" w:cs="Arial"/>
          <w:sz w:val="24"/>
          <w:szCs w:val="24"/>
        </w:rPr>
        <w:t xml:space="preserve"> (</w:t>
      </w:r>
      <w:r w:rsidR="002212BE" w:rsidRPr="002212BE">
        <w:rPr>
          <w:rFonts w:ascii="Arial" w:hAnsi="Arial" w:cs="Arial"/>
          <w:i/>
          <w:sz w:val="24"/>
          <w:szCs w:val="24"/>
        </w:rPr>
        <w:t xml:space="preserve">L’educazione al bivio, </w:t>
      </w:r>
      <w:smartTag w:uri="urn:schemas-microsoft-com:office:smarttags" w:element="PersonName">
        <w:smartTagPr>
          <w:attr w:name="ProductID" w:val="La Scuola"/>
        </w:smartTagPr>
        <w:r w:rsidR="002212BE" w:rsidRPr="002212BE">
          <w:rPr>
            <w:rFonts w:ascii="Arial" w:hAnsi="Arial" w:cs="Arial"/>
            <w:sz w:val="24"/>
            <w:szCs w:val="24"/>
          </w:rPr>
          <w:t>La Scuola</w:t>
        </w:r>
      </w:smartTag>
      <w:r w:rsidR="002212BE" w:rsidRPr="002212BE">
        <w:rPr>
          <w:rFonts w:ascii="Arial" w:hAnsi="Arial" w:cs="Arial"/>
          <w:sz w:val="24"/>
          <w:szCs w:val="24"/>
        </w:rPr>
        <w:t>, Brescia 1963, 114</w:t>
      </w:r>
      <w:r w:rsidR="002212BE">
        <w:rPr>
          <w:rFonts w:ascii="Arial" w:hAnsi="Arial" w:cs="Arial"/>
          <w:sz w:val="24"/>
          <w:szCs w:val="24"/>
        </w:rPr>
        <w:t>).</w:t>
      </w:r>
      <w:r w:rsidRPr="006552D8">
        <w:rPr>
          <w:rFonts w:ascii="Arial" w:hAnsi="Arial" w:cs="Arial"/>
          <w:sz w:val="24"/>
          <w:szCs w:val="24"/>
        </w:rPr>
        <w:t xml:space="preserve">.   </w:t>
      </w:r>
    </w:p>
    <w:p w:rsidR="006552D8" w:rsidRPr="006552D8" w:rsidRDefault="006552D8" w:rsidP="006552D8">
      <w:pPr>
        <w:rPr>
          <w:rFonts w:ascii="Arial" w:hAnsi="Arial" w:cs="Arial"/>
          <w:sz w:val="24"/>
          <w:szCs w:val="24"/>
        </w:rPr>
      </w:pPr>
      <w:r w:rsidRPr="006552D8">
        <w:rPr>
          <w:rFonts w:ascii="Arial" w:hAnsi="Arial" w:cs="Arial"/>
          <w:sz w:val="24"/>
          <w:szCs w:val="24"/>
        </w:rPr>
        <w:t xml:space="preserve">In altre parole, </w:t>
      </w:r>
      <w:r w:rsidRPr="002212BE">
        <w:rPr>
          <w:rFonts w:ascii="Arial" w:hAnsi="Arial" w:cs="Arial"/>
          <w:sz w:val="24"/>
          <w:szCs w:val="24"/>
        </w:rPr>
        <w:t>Maritain,</w:t>
      </w:r>
      <w:r w:rsidRPr="006552D8">
        <w:rPr>
          <w:rFonts w:ascii="Arial" w:hAnsi="Arial" w:cs="Arial"/>
          <w:sz w:val="24"/>
          <w:szCs w:val="24"/>
        </w:rPr>
        <w:t xml:space="preserve"> riteneva indispensabile che i valori morali, etici e anche religiosi reggessero lo Stato e i principali settori societari; senza di questi, i più deboli sono destinati, come sembra avvenire in alcune circostanze anche oggi, ad essere oggetto di sopruso. </w:t>
      </w:r>
    </w:p>
    <w:p w:rsidR="006552D8" w:rsidRPr="006552D8" w:rsidRDefault="002212BE" w:rsidP="006552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Dunque, p</w:t>
      </w:r>
      <w:r w:rsidR="006552D8" w:rsidRPr="006552D8">
        <w:rPr>
          <w:rFonts w:ascii="Arial" w:hAnsi="Arial" w:cs="Arial"/>
          <w:sz w:val="24"/>
          <w:szCs w:val="24"/>
        </w:rPr>
        <w:t xml:space="preserve">er il modello personalista ontologico </w:t>
      </w:r>
      <w:r>
        <w:rPr>
          <w:rFonts w:ascii="Arial" w:hAnsi="Arial" w:cs="Arial"/>
          <w:sz w:val="24"/>
          <w:szCs w:val="24"/>
        </w:rPr>
        <w:t>“</w:t>
      </w:r>
      <w:r w:rsidR="006552D8" w:rsidRPr="002212BE">
        <w:rPr>
          <w:rFonts w:ascii="Arial" w:hAnsi="Arial" w:cs="Arial"/>
          <w:sz w:val="24"/>
          <w:szCs w:val="24"/>
        </w:rPr>
        <w:t>la dignità</w:t>
      </w:r>
      <w:r>
        <w:rPr>
          <w:rFonts w:ascii="Arial" w:hAnsi="Arial" w:cs="Arial"/>
          <w:sz w:val="24"/>
          <w:szCs w:val="24"/>
        </w:rPr>
        <w:t>”</w:t>
      </w:r>
      <w:r w:rsidR="006552D8" w:rsidRPr="006552D8">
        <w:rPr>
          <w:rFonts w:ascii="Arial" w:hAnsi="Arial" w:cs="Arial"/>
          <w:sz w:val="24"/>
          <w:szCs w:val="24"/>
        </w:rPr>
        <w:t xml:space="preserve"> è il fattore costitutivo della persona, quindi un valore da rispettare pienamente in ogni momento dell’esistenza, dal concepimento alla morte naturale. </w:t>
      </w:r>
    </w:p>
    <w:p w:rsidR="006552D8" w:rsidRPr="006552D8" w:rsidRDefault="006552D8" w:rsidP="006552D8">
      <w:pPr>
        <w:rPr>
          <w:rFonts w:ascii="Arial" w:hAnsi="Arial" w:cs="Arial"/>
          <w:sz w:val="24"/>
          <w:szCs w:val="24"/>
        </w:rPr>
      </w:pPr>
      <w:r w:rsidRPr="002212BE">
        <w:rPr>
          <w:rFonts w:ascii="Arial" w:hAnsi="Arial" w:cs="Arial"/>
          <w:sz w:val="24"/>
          <w:szCs w:val="24"/>
        </w:rPr>
        <w:t>La dignità umana è un valore universale ed il legame che unisce fra loro tutti gli esseri umani.</w:t>
      </w:r>
      <w:r w:rsidRPr="006552D8">
        <w:rPr>
          <w:rFonts w:ascii="Arial" w:hAnsi="Arial" w:cs="Arial"/>
          <w:sz w:val="24"/>
          <w:szCs w:val="24"/>
        </w:rPr>
        <w:t xml:space="preserve"> Tommaso d’Aquino sosteneva che la persona umana rappresenta “l’essere più perfetto della natura”</w:t>
      </w:r>
      <w:r w:rsidR="002212BE">
        <w:rPr>
          <w:rFonts w:ascii="Arial" w:hAnsi="Arial" w:cs="Arial"/>
          <w:sz w:val="24"/>
          <w:szCs w:val="24"/>
        </w:rPr>
        <w:t xml:space="preserve"> (</w:t>
      </w:r>
      <w:r w:rsidR="002212BE" w:rsidRPr="002212BE">
        <w:rPr>
          <w:rFonts w:ascii="Arial" w:hAnsi="Arial" w:cs="Arial"/>
          <w:i/>
          <w:sz w:val="24"/>
          <w:szCs w:val="24"/>
        </w:rPr>
        <w:t xml:space="preserve">Summa </w:t>
      </w:r>
      <w:proofErr w:type="spellStart"/>
      <w:r w:rsidR="002212BE" w:rsidRPr="002212BE">
        <w:rPr>
          <w:rFonts w:ascii="Arial" w:hAnsi="Arial" w:cs="Arial"/>
          <w:i/>
          <w:sz w:val="24"/>
          <w:szCs w:val="24"/>
        </w:rPr>
        <w:t>Theologiae</w:t>
      </w:r>
      <w:proofErr w:type="spellEnd"/>
      <w:r w:rsidR="002212BE" w:rsidRPr="002212BE">
        <w:rPr>
          <w:rFonts w:ascii="Arial" w:hAnsi="Arial" w:cs="Arial"/>
          <w:i/>
          <w:sz w:val="24"/>
          <w:szCs w:val="24"/>
        </w:rPr>
        <w:t xml:space="preserve">, </w:t>
      </w:r>
      <w:r w:rsidR="002212BE" w:rsidRPr="002212BE">
        <w:rPr>
          <w:rFonts w:ascii="Arial" w:hAnsi="Arial" w:cs="Arial"/>
          <w:sz w:val="24"/>
          <w:szCs w:val="24"/>
        </w:rPr>
        <w:t>I, q.29, a, 3g</w:t>
      </w:r>
      <w:r w:rsidR="002212BE">
        <w:rPr>
          <w:rFonts w:ascii="Arial" w:hAnsi="Arial" w:cs="Arial"/>
          <w:sz w:val="24"/>
          <w:szCs w:val="24"/>
        </w:rPr>
        <w:t>)</w:t>
      </w:r>
      <w:r w:rsidRPr="006552D8">
        <w:rPr>
          <w:rFonts w:ascii="Arial" w:hAnsi="Arial" w:cs="Arial"/>
          <w:sz w:val="24"/>
          <w:szCs w:val="24"/>
        </w:rPr>
        <w:t xml:space="preserve">; perciò, ledendola, si infligge una grave ferita alla società nelle sue radici e nel suo vertice. </w:t>
      </w:r>
    </w:p>
    <w:p w:rsidR="006552D8" w:rsidRPr="002212BE" w:rsidRDefault="006552D8" w:rsidP="006552D8">
      <w:pPr>
        <w:rPr>
          <w:rFonts w:ascii="Arial" w:hAnsi="Arial" w:cs="Arial"/>
          <w:sz w:val="24"/>
          <w:szCs w:val="24"/>
        </w:rPr>
      </w:pPr>
      <w:r w:rsidRPr="002212BE">
        <w:rPr>
          <w:rFonts w:ascii="Arial" w:hAnsi="Arial" w:cs="Arial"/>
          <w:sz w:val="24"/>
          <w:szCs w:val="24"/>
        </w:rPr>
        <w:t xml:space="preserve">La società ha origine dall’uomo ed è al suo servizio; </w:t>
      </w:r>
      <w:r w:rsidR="002212BE" w:rsidRPr="002212BE">
        <w:rPr>
          <w:rFonts w:ascii="Arial" w:hAnsi="Arial" w:cs="Arial"/>
          <w:sz w:val="24"/>
          <w:szCs w:val="24"/>
        </w:rPr>
        <w:t>perciò</w:t>
      </w:r>
      <w:r w:rsidRPr="002212BE">
        <w:rPr>
          <w:rFonts w:ascii="Arial" w:hAnsi="Arial" w:cs="Arial"/>
          <w:sz w:val="24"/>
          <w:szCs w:val="24"/>
        </w:rPr>
        <w:t xml:space="preserve"> la difesa del valore primario e inalienabile dell’individuo è il presupposto di ogni autentico progresso. </w:t>
      </w:r>
    </w:p>
    <w:p w:rsidR="006552D8" w:rsidRPr="006552D8" w:rsidRDefault="006552D8" w:rsidP="006552D8">
      <w:pPr>
        <w:rPr>
          <w:rFonts w:ascii="Arial" w:hAnsi="Arial" w:cs="Arial"/>
          <w:sz w:val="24"/>
          <w:szCs w:val="24"/>
        </w:rPr>
      </w:pPr>
      <w:r w:rsidRPr="006552D8">
        <w:rPr>
          <w:rFonts w:ascii="Arial" w:hAnsi="Arial" w:cs="Arial"/>
          <w:sz w:val="24"/>
          <w:szCs w:val="24"/>
        </w:rPr>
        <w:t xml:space="preserve">E’ </w:t>
      </w:r>
      <w:r w:rsidR="002212BE">
        <w:rPr>
          <w:rFonts w:ascii="Arial" w:hAnsi="Arial" w:cs="Arial"/>
          <w:sz w:val="24"/>
          <w:szCs w:val="24"/>
        </w:rPr>
        <w:t>“</w:t>
      </w:r>
      <w:r w:rsidRPr="002212BE">
        <w:rPr>
          <w:rFonts w:ascii="Arial" w:hAnsi="Arial" w:cs="Arial"/>
          <w:sz w:val="24"/>
          <w:szCs w:val="24"/>
        </w:rPr>
        <w:t>il bene della persona</w:t>
      </w:r>
      <w:r w:rsidR="002212BE">
        <w:rPr>
          <w:rFonts w:ascii="Arial" w:hAnsi="Arial" w:cs="Arial"/>
          <w:i/>
          <w:sz w:val="24"/>
          <w:szCs w:val="24"/>
        </w:rPr>
        <w:t>”</w:t>
      </w:r>
      <w:r w:rsidRPr="006552D8">
        <w:rPr>
          <w:rFonts w:ascii="Arial" w:hAnsi="Arial" w:cs="Arial"/>
          <w:sz w:val="24"/>
          <w:szCs w:val="24"/>
        </w:rPr>
        <w:t xml:space="preserve"> nella sua </w:t>
      </w:r>
      <w:proofErr w:type="spellStart"/>
      <w:r w:rsidRPr="006552D8">
        <w:rPr>
          <w:rFonts w:ascii="Arial" w:hAnsi="Arial" w:cs="Arial"/>
          <w:sz w:val="24"/>
          <w:szCs w:val="24"/>
        </w:rPr>
        <w:t>unitotalità</w:t>
      </w:r>
      <w:proofErr w:type="spellEnd"/>
      <w:r w:rsidRPr="006552D8">
        <w:rPr>
          <w:rFonts w:ascii="Arial" w:hAnsi="Arial" w:cs="Arial"/>
          <w:sz w:val="24"/>
          <w:szCs w:val="24"/>
        </w:rPr>
        <w:t xml:space="preserve"> che costituisce, per questo modello, il criterio di giudizio, di decisione e di azione. </w:t>
      </w:r>
    </w:p>
    <w:p w:rsidR="006552D8" w:rsidRPr="006552D8" w:rsidRDefault="006552D8" w:rsidP="006552D8">
      <w:pPr>
        <w:rPr>
          <w:rFonts w:ascii="Arial" w:hAnsi="Arial" w:cs="Arial"/>
          <w:sz w:val="24"/>
          <w:szCs w:val="24"/>
        </w:rPr>
      </w:pPr>
    </w:p>
    <w:sectPr w:rsidR="006552D8" w:rsidRPr="006552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2D8" w:rsidRDefault="006552D8" w:rsidP="006552D8">
      <w:pPr>
        <w:spacing w:line="240" w:lineRule="auto"/>
      </w:pPr>
      <w:r>
        <w:separator/>
      </w:r>
    </w:p>
  </w:endnote>
  <w:endnote w:type="continuationSeparator" w:id="0">
    <w:p w:rsidR="006552D8" w:rsidRDefault="006552D8" w:rsidP="006552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2D8" w:rsidRDefault="006552D8" w:rsidP="006552D8">
      <w:pPr>
        <w:spacing w:line="240" w:lineRule="auto"/>
      </w:pPr>
      <w:r>
        <w:separator/>
      </w:r>
    </w:p>
  </w:footnote>
  <w:footnote w:type="continuationSeparator" w:id="0">
    <w:p w:rsidR="006552D8" w:rsidRDefault="006552D8" w:rsidP="006552D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2D8"/>
    <w:rsid w:val="002212BE"/>
    <w:rsid w:val="006552D8"/>
    <w:rsid w:val="00B6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6552D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6552D8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6552D8"/>
    <w:rPr>
      <w:vertAlign w:val="superscript"/>
    </w:rPr>
  </w:style>
  <w:style w:type="character" w:styleId="Collegamentoipertestuale">
    <w:name w:val="Hyperlink"/>
    <w:rsid w:val="006552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6552D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6552D8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6552D8"/>
    <w:rPr>
      <w:vertAlign w:val="superscript"/>
    </w:rPr>
  </w:style>
  <w:style w:type="character" w:styleId="Collegamentoipertestuale">
    <w:name w:val="Hyperlink"/>
    <w:rsid w:val="006552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1</cp:revision>
  <dcterms:created xsi:type="dcterms:W3CDTF">2014-09-22T06:00:00Z</dcterms:created>
  <dcterms:modified xsi:type="dcterms:W3CDTF">2014-09-22T06:22:00Z</dcterms:modified>
</cp:coreProperties>
</file>