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507" w:rsidRPr="00A05AA6" w:rsidRDefault="00DC1507" w:rsidP="00DC1507">
      <w:pPr>
        <w:rPr>
          <w:rFonts w:ascii="Arial" w:hAnsi="Arial" w:cs="Arial"/>
          <w:b/>
          <w:sz w:val="28"/>
          <w:szCs w:val="28"/>
        </w:rPr>
      </w:pPr>
      <w:r w:rsidRPr="00A05AA6">
        <w:rPr>
          <w:rFonts w:ascii="Arial" w:hAnsi="Arial" w:cs="Arial"/>
          <w:b/>
          <w:sz w:val="28"/>
          <w:szCs w:val="28"/>
        </w:rPr>
        <w:t>GENETICA</w:t>
      </w:r>
      <w:r w:rsidR="0047216B" w:rsidRPr="00A05AA6">
        <w:rPr>
          <w:rFonts w:ascii="Arial" w:hAnsi="Arial" w:cs="Arial"/>
          <w:b/>
          <w:sz w:val="28"/>
          <w:szCs w:val="28"/>
        </w:rPr>
        <w:t xml:space="preserve"> </w:t>
      </w:r>
      <w:r w:rsidR="00A776E1" w:rsidRPr="00A05AA6">
        <w:rPr>
          <w:rFonts w:ascii="Arial" w:hAnsi="Arial" w:cs="Arial"/>
          <w:b/>
          <w:sz w:val="28"/>
          <w:szCs w:val="28"/>
        </w:rPr>
        <w:t>1</w:t>
      </w:r>
      <w:r w:rsidRPr="00A05AA6">
        <w:rPr>
          <w:rFonts w:ascii="Arial" w:hAnsi="Arial" w:cs="Arial"/>
          <w:b/>
          <w:sz w:val="28"/>
          <w:szCs w:val="28"/>
        </w:rPr>
        <w:t>: PRESENTAZIONE DELLA TEMATICA</w:t>
      </w:r>
    </w:p>
    <w:p w:rsidR="00DC1507" w:rsidRPr="00A776E1" w:rsidRDefault="00DC1507" w:rsidP="00DC1507">
      <w:pPr>
        <w:rPr>
          <w:rFonts w:ascii="Arial" w:hAnsi="Arial" w:cs="Arial"/>
          <w:sz w:val="24"/>
          <w:szCs w:val="24"/>
        </w:rPr>
      </w:pPr>
    </w:p>
    <w:p w:rsidR="00A776E1" w:rsidRDefault="00DC1507" w:rsidP="00A776E1">
      <w:pPr>
        <w:ind w:firstLine="708"/>
        <w:rPr>
          <w:rFonts w:ascii="Arial" w:hAnsi="Arial" w:cs="Arial"/>
          <w:sz w:val="24"/>
          <w:szCs w:val="24"/>
        </w:rPr>
      </w:pPr>
      <w:r w:rsidRPr="00A776E1">
        <w:rPr>
          <w:rFonts w:ascii="Arial" w:hAnsi="Arial" w:cs="Arial"/>
          <w:i/>
          <w:sz w:val="24"/>
          <w:szCs w:val="24"/>
        </w:rPr>
        <w:t>La genetica</w:t>
      </w:r>
      <w:r w:rsidRPr="00A776E1">
        <w:rPr>
          <w:rFonts w:ascii="Arial" w:hAnsi="Arial" w:cs="Arial"/>
          <w:sz w:val="24"/>
          <w:szCs w:val="24"/>
        </w:rPr>
        <w:t xml:space="preserve"> (dal greco </w:t>
      </w:r>
      <w:hyperlink r:id="rId8" w:tooltip="wikt:γένεσις" w:history="1">
        <w:proofErr w:type="spellStart"/>
        <w:r w:rsidRPr="00A776E1">
          <w:rPr>
            <w:rStyle w:val="Collegamentoipertestuale"/>
            <w:rFonts w:ascii="Arial" w:hAnsi="Arial" w:cs="Arial"/>
            <w:color w:val="auto"/>
            <w:sz w:val="24"/>
            <w:szCs w:val="24"/>
            <w:u w:val="none"/>
          </w:rPr>
          <w:t>γένεσις</w:t>
        </w:r>
        <w:proofErr w:type="spellEnd"/>
      </w:hyperlink>
      <w:r w:rsidRPr="00A776E1">
        <w:rPr>
          <w:rFonts w:ascii="Arial" w:hAnsi="Arial" w:cs="Arial"/>
          <w:sz w:val="24"/>
          <w:szCs w:val="24"/>
        </w:rPr>
        <w:t xml:space="preserve"> = genesi, origine…) è la scienza che studia i </w:t>
      </w:r>
      <w:hyperlink r:id="rId9" w:tooltip="Gene" w:history="1">
        <w:r w:rsidRPr="00A776E1">
          <w:rPr>
            <w:rStyle w:val="Collegamentoipertestuale"/>
            <w:rFonts w:ascii="Arial" w:hAnsi="Arial" w:cs="Arial"/>
            <w:color w:val="auto"/>
            <w:sz w:val="24"/>
            <w:szCs w:val="24"/>
            <w:u w:val="none"/>
          </w:rPr>
          <w:t>geni</w:t>
        </w:r>
      </w:hyperlink>
      <w:r w:rsidRPr="00A776E1">
        <w:rPr>
          <w:rFonts w:ascii="Arial" w:hAnsi="Arial" w:cs="Arial"/>
          <w:sz w:val="24"/>
          <w:szCs w:val="24"/>
        </w:rPr>
        <w:t xml:space="preserve">, i caratteri ereditari degli organismi viventi e i meccanismi della loro trasmissione e della loro distribuzione nei vari gruppi di popolazione. </w:t>
      </w:r>
    </w:p>
    <w:p w:rsidR="00DC1507" w:rsidRPr="00A776E1" w:rsidRDefault="00A776E1" w:rsidP="00A776E1">
      <w:pPr>
        <w:ind w:firstLine="708"/>
        <w:rPr>
          <w:rFonts w:ascii="Arial" w:hAnsi="Arial" w:cs="Arial"/>
          <w:sz w:val="24"/>
          <w:szCs w:val="24"/>
        </w:rPr>
      </w:pPr>
      <w:r>
        <w:rPr>
          <w:rFonts w:ascii="Arial" w:hAnsi="Arial" w:cs="Arial"/>
          <w:sz w:val="24"/>
          <w:szCs w:val="24"/>
        </w:rPr>
        <w:t xml:space="preserve">Lo studio di questo settore della scienza e </w:t>
      </w:r>
      <w:r w:rsidR="00DC1507" w:rsidRPr="00A776E1">
        <w:rPr>
          <w:rFonts w:ascii="Arial" w:hAnsi="Arial" w:cs="Arial"/>
          <w:sz w:val="24"/>
          <w:szCs w:val="24"/>
        </w:rPr>
        <w:t>la comprensione delle modalità di azione dei vari aspetti genetici, permetterà di identificare  strumenti più efficaci per curare e prevenire varie patologie. Per questo, la “Dichiarazione Universale sul Genoma” dell’UNESCO (1997), afferma al primo articolo che “il genoma sottende l’unità fondamentale di tutti i membri della famiglia umana, come pure il riconoscimento della loro intrinseca dignità e della loro diversità. In senso simbolico, esso è patrimonio dell’umanità”.</w:t>
      </w:r>
    </w:p>
    <w:p w:rsidR="00EB7341" w:rsidRDefault="00A776E1" w:rsidP="00A776E1">
      <w:pPr>
        <w:ind w:firstLine="709"/>
        <w:rPr>
          <w:rFonts w:ascii="Arial" w:hAnsi="Arial" w:cs="Arial"/>
          <w:sz w:val="24"/>
          <w:szCs w:val="24"/>
        </w:rPr>
      </w:pPr>
      <w:r w:rsidRPr="00A776E1">
        <w:rPr>
          <w:rFonts w:ascii="Arial" w:hAnsi="Arial" w:cs="Arial"/>
          <w:sz w:val="24"/>
          <w:szCs w:val="24"/>
        </w:rPr>
        <w:t xml:space="preserve">La genetica ebbe origine nel diciannovesimo secolo con gli studi del monaco ceco G. Mendel (1822-1884). Nel tranquillo giardino del convento agostiniano di San Tommaso a </w:t>
      </w:r>
      <w:proofErr w:type="spellStart"/>
      <w:r w:rsidRPr="00A776E1">
        <w:rPr>
          <w:rFonts w:ascii="Arial" w:hAnsi="Arial" w:cs="Arial"/>
          <w:sz w:val="24"/>
          <w:szCs w:val="24"/>
        </w:rPr>
        <w:t>Konigkloster</w:t>
      </w:r>
      <w:proofErr w:type="spellEnd"/>
      <w:r w:rsidRPr="00A776E1">
        <w:rPr>
          <w:rFonts w:ascii="Arial" w:hAnsi="Arial" w:cs="Arial"/>
          <w:sz w:val="24"/>
          <w:szCs w:val="24"/>
        </w:rPr>
        <w:t xml:space="preserve"> di Brno di cui era abate, osservò le caratteristiche delle piante di pisello, comprendendo che i caratteri ereditari del vegetale non erano dettati dal caso ma trasmessi come unità, distribuiti poi singolarmente ad ogni generazione. A seguito delle sue ricerche, formulò le leggi della trasmissione dei caratteri ereditari, che costituirono il fondamento dell’attuale genetica</w:t>
      </w:r>
      <w:r>
        <w:rPr>
          <w:rFonts w:ascii="Arial" w:hAnsi="Arial" w:cs="Arial"/>
          <w:sz w:val="24"/>
          <w:szCs w:val="24"/>
        </w:rPr>
        <w:t xml:space="preserve">. </w:t>
      </w:r>
    </w:p>
    <w:p w:rsidR="00A776E1" w:rsidRPr="00EB7341" w:rsidRDefault="00EB7341" w:rsidP="00EB7341">
      <w:pPr>
        <w:rPr>
          <w:rFonts w:ascii="Arial" w:hAnsi="Arial" w:cs="Arial"/>
          <w:sz w:val="24"/>
          <w:szCs w:val="24"/>
        </w:rPr>
      </w:pPr>
      <w:r>
        <w:rPr>
          <w:rFonts w:ascii="Arial" w:hAnsi="Arial" w:cs="Arial"/>
          <w:sz w:val="24"/>
          <w:szCs w:val="24"/>
        </w:rPr>
        <w:t>Gli studi proseguirono per decenni e permisero nel 1987 l’avvio</w:t>
      </w:r>
      <w:r w:rsidRPr="00EB7341">
        <w:rPr>
          <w:rFonts w:ascii="Arial" w:hAnsi="Arial" w:cs="Arial"/>
          <w:sz w:val="24"/>
          <w:szCs w:val="24"/>
        </w:rPr>
        <w:t xml:space="preserve"> del </w:t>
      </w:r>
      <w:r>
        <w:rPr>
          <w:rFonts w:ascii="Arial" w:hAnsi="Arial" w:cs="Arial"/>
          <w:sz w:val="24"/>
          <w:szCs w:val="24"/>
        </w:rPr>
        <w:t>“</w:t>
      </w:r>
      <w:hyperlink r:id="rId10" w:tooltip="Progetto genoma umano" w:history="1">
        <w:r w:rsidRPr="00EB7341">
          <w:rPr>
            <w:rStyle w:val="Collegamentoipertestuale"/>
            <w:rFonts w:ascii="Arial" w:hAnsi="Arial" w:cs="Arial"/>
            <w:color w:val="auto"/>
            <w:sz w:val="24"/>
            <w:szCs w:val="24"/>
            <w:u w:val="none"/>
          </w:rPr>
          <w:t>Progetto genoma umano</w:t>
        </w:r>
      </w:hyperlink>
      <w:r>
        <w:rPr>
          <w:rFonts w:ascii="Arial" w:hAnsi="Arial" w:cs="Arial"/>
          <w:sz w:val="24"/>
          <w:szCs w:val="24"/>
        </w:rPr>
        <w:t>”</w:t>
      </w:r>
      <w:r w:rsidRPr="00EB7341">
        <w:rPr>
          <w:rFonts w:ascii="Arial" w:hAnsi="Arial" w:cs="Arial"/>
          <w:sz w:val="24"/>
          <w:szCs w:val="24"/>
        </w:rPr>
        <w:t xml:space="preserve"> e alla </w:t>
      </w:r>
      <w:r>
        <w:rPr>
          <w:rFonts w:ascii="Arial" w:hAnsi="Arial" w:cs="Arial"/>
          <w:sz w:val="24"/>
          <w:szCs w:val="24"/>
        </w:rPr>
        <w:t>“</w:t>
      </w:r>
      <w:hyperlink r:id="rId11" w:tooltip="Celera Genomics" w:history="1">
        <w:r w:rsidRPr="00EB7341">
          <w:rPr>
            <w:rStyle w:val="Collegamentoipertestuale"/>
            <w:rFonts w:ascii="Arial" w:hAnsi="Arial" w:cs="Arial"/>
            <w:color w:val="auto"/>
            <w:sz w:val="24"/>
            <w:szCs w:val="24"/>
            <w:u w:val="none"/>
          </w:rPr>
          <w:t xml:space="preserve">Celera </w:t>
        </w:r>
        <w:proofErr w:type="spellStart"/>
        <w:r w:rsidRPr="00EB7341">
          <w:rPr>
            <w:rStyle w:val="Collegamentoipertestuale"/>
            <w:rFonts w:ascii="Arial" w:hAnsi="Arial" w:cs="Arial"/>
            <w:color w:val="auto"/>
            <w:sz w:val="24"/>
            <w:szCs w:val="24"/>
            <w:u w:val="none"/>
          </w:rPr>
          <w:t>Genomics</w:t>
        </w:r>
        <w:proofErr w:type="spellEnd"/>
      </w:hyperlink>
      <w:r>
        <w:rPr>
          <w:rFonts w:ascii="Arial" w:hAnsi="Arial" w:cs="Arial"/>
          <w:sz w:val="24"/>
          <w:szCs w:val="24"/>
        </w:rPr>
        <w:t>”</w:t>
      </w:r>
      <w:r w:rsidRPr="00EB7341">
        <w:rPr>
          <w:rFonts w:ascii="Arial" w:hAnsi="Arial" w:cs="Arial"/>
          <w:sz w:val="24"/>
          <w:szCs w:val="24"/>
        </w:rPr>
        <w:t xml:space="preserve"> di annunciare nel </w:t>
      </w:r>
      <w:hyperlink r:id="rId12" w:tooltip="2001" w:history="1">
        <w:r w:rsidRPr="00EB7341">
          <w:rPr>
            <w:rStyle w:val="Collegamentoipertestuale"/>
            <w:rFonts w:ascii="Arial" w:hAnsi="Arial" w:cs="Arial"/>
            <w:color w:val="auto"/>
            <w:sz w:val="24"/>
            <w:szCs w:val="24"/>
            <w:u w:val="none"/>
          </w:rPr>
          <w:t>200</w:t>
        </w:r>
      </w:hyperlink>
      <w:r w:rsidRPr="00EB7341">
        <w:rPr>
          <w:rFonts w:ascii="Arial" w:hAnsi="Arial" w:cs="Arial"/>
          <w:sz w:val="24"/>
          <w:szCs w:val="24"/>
        </w:rPr>
        <w:t xml:space="preserve">3 il </w:t>
      </w:r>
      <w:r w:rsidR="001D11F1">
        <w:rPr>
          <w:rFonts w:ascii="Arial" w:hAnsi="Arial" w:cs="Arial"/>
          <w:sz w:val="24"/>
          <w:szCs w:val="24"/>
        </w:rPr>
        <w:t>quasi totale</w:t>
      </w:r>
      <w:r w:rsidRPr="00EB7341">
        <w:rPr>
          <w:rFonts w:ascii="Arial" w:hAnsi="Arial" w:cs="Arial"/>
          <w:sz w:val="24"/>
          <w:szCs w:val="24"/>
        </w:rPr>
        <w:t xml:space="preserve"> sequenziamento del</w:t>
      </w:r>
      <w:bookmarkStart w:id="0" w:name="_GoBack"/>
      <w:bookmarkEnd w:id="0"/>
      <w:r w:rsidRPr="00EB7341">
        <w:rPr>
          <w:rFonts w:ascii="Arial" w:hAnsi="Arial" w:cs="Arial"/>
          <w:sz w:val="24"/>
          <w:szCs w:val="24"/>
        </w:rPr>
        <w:t xml:space="preserve"> </w:t>
      </w:r>
      <w:hyperlink r:id="rId13" w:tooltip="Genoma" w:history="1">
        <w:r w:rsidRPr="00EB7341">
          <w:rPr>
            <w:rStyle w:val="Collegamentoipertestuale"/>
            <w:rFonts w:ascii="Arial" w:hAnsi="Arial" w:cs="Arial"/>
            <w:color w:val="auto"/>
            <w:sz w:val="24"/>
            <w:szCs w:val="24"/>
            <w:u w:val="none"/>
          </w:rPr>
          <w:t>genoma</w:t>
        </w:r>
      </w:hyperlink>
      <w:r w:rsidRPr="00EB7341">
        <w:rPr>
          <w:rFonts w:ascii="Arial" w:hAnsi="Arial" w:cs="Arial"/>
          <w:sz w:val="24"/>
          <w:szCs w:val="24"/>
        </w:rPr>
        <w:t xml:space="preserve"> umano</w:t>
      </w:r>
    </w:p>
    <w:p w:rsidR="00EB7341" w:rsidRPr="00EB7341" w:rsidRDefault="00EB7341" w:rsidP="00EB7341">
      <w:pPr>
        <w:ind w:firstLine="708"/>
        <w:rPr>
          <w:rFonts w:ascii="Arial" w:hAnsi="Arial" w:cs="Arial"/>
          <w:sz w:val="24"/>
          <w:szCs w:val="24"/>
        </w:rPr>
      </w:pPr>
      <w:r w:rsidRPr="00EB7341">
        <w:rPr>
          <w:rFonts w:ascii="Arial" w:hAnsi="Arial" w:cs="Arial"/>
          <w:sz w:val="24"/>
          <w:szCs w:val="24"/>
        </w:rPr>
        <w:t xml:space="preserve">L’ aspetto normativo è ricco di pronunciamenti con particolarmente attenzione alla gestione dei dati genetici, e di conseguenza, all’organizzazione e all’amministrazione delle </w:t>
      </w:r>
      <w:proofErr w:type="spellStart"/>
      <w:r w:rsidRPr="00EB7341">
        <w:rPr>
          <w:rFonts w:ascii="Arial" w:hAnsi="Arial" w:cs="Arial"/>
          <w:sz w:val="24"/>
          <w:szCs w:val="24"/>
        </w:rPr>
        <w:t>biobanche</w:t>
      </w:r>
      <w:proofErr w:type="spellEnd"/>
      <w:r w:rsidRPr="00EB7341">
        <w:rPr>
          <w:rFonts w:ascii="Arial" w:hAnsi="Arial" w:cs="Arial"/>
          <w:sz w:val="24"/>
          <w:szCs w:val="24"/>
        </w:rPr>
        <w:t>. Ma, nonostante l’emanazione di testi normativi, in molti Paesi, tra cui l’Italia, dobbiamo constatare una carenza di indicazioni precise e verificabili che regolino nei minimi particolari gli aspetti inerenti alla raccolta, alla conservazione, al controllo di qualità e alla distribuzione dei materiali biologici per la ricerca, come pure restano indefiniti molteplici aspetti etici e legali.</w:t>
      </w:r>
    </w:p>
    <w:p w:rsidR="00A776E1" w:rsidRPr="00EB7341" w:rsidRDefault="00EB7341" w:rsidP="00DC1507">
      <w:pPr>
        <w:rPr>
          <w:rFonts w:ascii="Arial" w:hAnsi="Arial" w:cs="Arial"/>
          <w:sz w:val="24"/>
          <w:szCs w:val="24"/>
        </w:rPr>
      </w:pPr>
      <w:r>
        <w:rPr>
          <w:rFonts w:ascii="Arial" w:hAnsi="Arial" w:cs="Arial"/>
          <w:sz w:val="24"/>
          <w:szCs w:val="24"/>
        </w:rPr>
        <w:tab/>
        <w:t xml:space="preserve">Due sono i problemi più complessi: la gestione dei dati genetici e delle </w:t>
      </w:r>
      <w:proofErr w:type="spellStart"/>
      <w:r>
        <w:rPr>
          <w:rFonts w:ascii="Arial" w:hAnsi="Arial" w:cs="Arial"/>
          <w:sz w:val="24"/>
          <w:szCs w:val="24"/>
        </w:rPr>
        <w:t>biobanche</w:t>
      </w:r>
      <w:proofErr w:type="spellEnd"/>
      <w:r>
        <w:rPr>
          <w:rFonts w:ascii="Arial" w:hAnsi="Arial" w:cs="Arial"/>
          <w:sz w:val="24"/>
          <w:szCs w:val="24"/>
        </w:rPr>
        <w:t>.</w:t>
      </w:r>
    </w:p>
    <w:p w:rsidR="00DC1507" w:rsidRPr="00A776E1" w:rsidRDefault="00DC1507" w:rsidP="00EB7341">
      <w:pPr>
        <w:ind w:firstLine="708"/>
        <w:rPr>
          <w:rFonts w:ascii="Arial" w:hAnsi="Arial" w:cs="Arial"/>
          <w:sz w:val="24"/>
          <w:szCs w:val="24"/>
        </w:rPr>
      </w:pPr>
      <w:r w:rsidRPr="00A776E1">
        <w:rPr>
          <w:rFonts w:ascii="Arial" w:hAnsi="Arial" w:cs="Arial"/>
          <w:sz w:val="24"/>
          <w:szCs w:val="24"/>
        </w:rPr>
        <w:t xml:space="preserve">I </w:t>
      </w:r>
      <w:r w:rsidR="00EB7341">
        <w:rPr>
          <w:rFonts w:ascii="Arial" w:hAnsi="Arial" w:cs="Arial"/>
          <w:sz w:val="24"/>
          <w:szCs w:val="24"/>
        </w:rPr>
        <w:t>“</w:t>
      </w:r>
      <w:r w:rsidRPr="00A776E1">
        <w:rPr>
          <w:rFonts w:ascii="Arial" w:hAnsi="Arial" w:cs="Arial"/>
          <w:sz w:val="24"/>
          <w:szCs w:val="24"/>
        </w:rPr>
        <w:t>Dati Genetici</w:t>
      </w:r>
      <w:r w:rsidR="00EB7341">
        <w:rPr>
          <w:rFonts w:ascii="Arial" w:hAnsi="Arial" w:cs="Arial"/>
          <w:sz w:val="24"/>
          <w:szCs w:val="24"/>
        </w:rPr>
        <w:t>”</w:t>
      </w:r>
      <w:r w:rsidRPr="00A776E1">
        <w:rPr>
          <w:rFonts w:ascii="Arial" w:hAnsi="Arial" w:cs="Arial"/>
          <w:sz w:val="24"/>
          <w:szCs w:val="24"/>
        </w:rPr>
        <w:t>, riguardano la costituzione genotipica della persona, e forniscono informazioni sui caratteri genetici trasmissibili nell’ambito di un gruppo di individui parentali. Considerando i progressi della ricerca, in futuro, potrebbero essere utilizzati per altre finalità. Una questione con risvolti etici riguarda l’ eventuale obbligo di comunicare i propri dati genetici alla famiglia, se questi sono di notevole importanza per la salvaguardia della salute o per ripercussioni future. Per questo ci si chiede: i dati genetici, sono proprietà del singolo, oppure i famigliari hanno il diritto di conoscerli anche senza il consenso dell’ interessato?</w:t>
      </w:r>
    </w:p>
    <w:p w:rsidR="00DC1507" w:rsidRPr="00A776E1" w:rsidRDefault="00DC1507" w:rsidP="00EB7341">
      <w:pPr>
        <w:ind w:firstLine="708"/>
        <w:rPr>
          <w:rFonts w:ascii="Arial" w:hAnsi="Arial" w:cs="Arial"/>
          <w:sz w:val="24"/>
          <w:szCs w:val="24"/>
        </w:rPr>
      </w:pPr>
      <w:r w:rsidRPr="00A776E1">
        <w:rPr>
          <w:rFonts w:ascii="Arial" w:hAnsi="Arial" w:cs="Arial"/>
          <w:sz w:val="24"/>
          <w:szCs w:val="24"/>
        </w:rPr>
        <w:t xml:space="preserve">La richiesta di tessuti umani per la ricerca, accresciuta a seguito del </w:t>
      </w:r>
      <w:proofErr w:type="spellStart"/>
      <w:r w:rsidRPr="00A776E1">
        <w:rPr>
          <w:rFonts w:ascii="Arial" w:hAnsi="Arial" w:cs="Arial"/>
          <w:sz w:val="24"/>
          <w:szCs w:val="24"/>
        </w:rPr>
        <w:t>sequenzionamento</w:t>
      </w:r>
      <w:proofErr w:type="spellEnd"/>
      <w:r w:rsidRPr="00A776E1">
        <w:rPr>
          <w:rFonts w:ascii="Arial" w:hAnsi="Arial" w:cs="Arial"/>
          <w:sz w:val="24"/>
          <w:szCs w:val="24"/>
        </w:rPr>
        <w:t xml:space="preserve"> del genoma umano aprendo nuovi orizzonti di studio, creò l’esigenza di costituire “banche” e “reti di banche” di tessuti e di cellule umane. </w:t>
      </w:r>
    </w:p>
    <w:p w:rsidR="00DC1507" w:rsidRPr="00A776E1" w:rsidRDefault="00DC1507" w:rsidP="00DC1507">
      <w:pPr>
        <w:rPr>
          <w:rFonts w:ascii="Arial" w:hAnsi="Arial" w:cs="Arial"/>
          <w:sz w:val="24"/>
          <w:szCs w:val="24"/>
        </w:rPr>
      </w:pPr>
      <w:r w:rsidRPr="00A776E1">
        <w:rPr>
          <w:rFonts w:ascii="Arial" w:hAnsi="Arial" w:cs="Arial"/>
          <w:sz w:val="24"/>
          <w:szCs w:val="24"/>
        </w:rPr>
        <w:t xml:space="preserve">Le </w:t>
      </w:r>
      <w:proofErr w:type="spellStart"/>
      <w:r w:rsidRPr="00A776E1">
        <w:rPr>
          <w:rFonts w:ascii="Arial" w:hAnsi="Arial" w:cs="Arial"/>
          <w:sz w:val="24"/>
          <w:szCs w:val="24"/>
        </w:rPr>
        <w:t>biobanche</w:t>
      </w:r>
      <w:proofErr w:type="spellEnd"/>
      <w:r w:rsidRPr="00A776E1">
        <w:rPr>
          <w:rFonts w:ascii="Arial" w:hAnsi="Arial" w:cs="Arial"/>
          <w:sz w:val="24"/>
          <w:szCs w:val="24"/>
        </w:rPr>
        <w:t xml:space="preserve"> o “banche di dati di ricerca”, sono strutture </w:t>
      </w:r>
      <w:r w:rsidRPr="00BE595C">
        <w:rPr>
          <w:rFonts w:ascii="Arial" w:hAnsi="Arial" w:cs="Arial"/>
          <w:sz w:val="24"/>
          <w:szCs w:val="24"/>
        </w:rPr>
        <w:t>no-profit</w:t>
      </w:r>
      <w:r w:rsidRPr="00A776E1">
        <w:rPr>
          <w:rFonts w:ascii="Arial" w:hAnsi="Arial" w:cs="Arial"/>
          <w:sz w:val="24"/>
          <w:szCs w:val="24"/>
        </w:rPr>
        <w:t xml:space="preserve"> dove vengono raccolti campioni biologici umani, catalogati, conservati con strumenti volti a salvaguardare le qualità organiche e resi disponibili per finalità di diagnosi genetica, per studi sulla biodiversità e per la ricerca clinica. I campioni biologici sono posti “in rete”, cioè in un unico </w:t>
      </w:r>
      <w:r w:rsidRPr="00BE595C">
        <w:rPr>
          <w:rFonts w:ascii="Arial" w:hAnsi="Arial" w:cs="Arial"/>
          <w:sz w:val="24"/>
          <w:szCs w:val="24"/>
        </w:rPr>
        <w:t>database</w:t>
      </w:r>
      <w:r w:rsidRPr="00A776E1">
        <w:rPr>
          <w:rFonts w:ascii="Arial" w:hAnsi="Arial" w:cs="Arial"/>
          <w:sz w:val="24"/>
          <w:szCs w:val="24"/>
        </w:rPr>
        <w:t xml:space="preserve"> contenete le informazioni utili al ricercatore per estrapolare velocemente i tessuti più idonei agli obbiettivi della sua ricerca. E’ dunque una condivisione dei tessuti a livello globale. </w:t>
      </w:r>
    </w:p>
    <w:p w:rsidR="00BE595C" w:rsidRPr="00BE595C" w:rsidRDefault="00DC1507" w:rsidP="00BE595C">
      <w:pPr>
        <w:ind w:firstLine="708"/>
        <w:rPr>
          <w:rFonts w:ascii="Arial" w:hAnsi="Arial" w:cs="Arial"/>
          <w:sz w:val="24"/>
          <w:szCs w:val="24"/>
        </w:rPr>
      </w:pPr>
      <w:r w:rsidRPr="00A776E1">
        <w:rPr>
          <w:rFonts w:ascii="Arial" w:hAnsi="Arial" w:cs="Arial"/>
          <w:sz w:val="24"/>
          <w:szCs w:val="24"/>
        </w:rPr>
        <w:lastRenderedPageBreak/>
        <w:t xml:space="preserve">Già negli anni ’70 del XX secolo, </w:t>
      </w:r>
      <w:r w:rsidR="00BE595C">
        <w:rPr>
          <w:rFonts w:ascii="Arial" w:hAnsi="Arial" w:cs="Arial"/>
          <w:sz w:val="24"/>
          <w:szCs w:val="24"/>
        </w:rPr>
        <w:t xml:space="preserve">H. Jonas </w:t>
      </w:r>
      <w:r w:rsidRPr="00A776E1">
        <w:rPr>
          <w:rFonts w:ascii="Arial" w:hAnsi="Arial" w:cs="Arial"/>
          <w:sz w:val="24"/>
          <w:szCs w:val="24"/>
        </w:rPr>
        <w:t>osservò che “il controllo biologico dell’uomo, specialmente il controllo genetico, sollevava questioni etiche di genere completamente nuovo, al quale né la prassi, né la teoria precedenti ci hanno preparato. Poiché sono in discussione nientemeno che la natura e l’immagine dell’uomo, la prudenza diventa il nostro primo dovere etico, e un ragionamento ipotetico la nostra prima responsabilità. Riflettere sulle conseguenze prima di prendere delle iniziative non è altro che normale prudenza”</w:t>
      </w:r>
      <w:r w:rsidR="00BE595C">
        <w:rPr>
          <w:rFonts w:ascii="Arial" w:hAnsi="Arial" w:cs="Arial"/>
          <w:sz w:val="24"/>
          <w:szCs w:val="24"/>
        </w:rPr>
        <w:t xml:space="preserve"> (</w:t>
      </w:r>
      <w:r w:rsidR="00BE595C">
        <w:rPr>
          <w:rFonts w:ascii="Arial" w:hAnsi="Arial" w:cs="Arial"/>
          <w:i/>
          <w:sz w:val="24"/>
          <w:szCs w:val="24"/>
        </w:rPr>
        <w:t xml:space="preserve">Dalla fede antica all’uomo tecnologico, </w:t>
      </w:r>
      <w:r w:rsidR="00BE595C">
        <w:rPr>
          <w:rFonts w:ascii="Arial" w:hAnsi="Arial" w:cs="Arial"/>
          <w:sz w:val="24"/>
          <w:szCs w:val="24"/>
        </w:rPr>
        <w:t xml:space="preserve">Il Mulino, Bologna 1990, </w:t>
      </w:r>
      <w:proofErr w:type="spellStart"/>
      <w:r w:rsidR="00BE595C">
        <w:rPr>
          <w:rFonts w:ascii="Arial" w:hAnsi="Arial" w:cs="Arial"/>
          <w:sz w:val="24"/>
          <w:szCs w:val="24"/>
        </w:rPr>
        <w:t>pg</w:t>
      </w:r>
      <w:proofErr w:type="spellEnd"/>
      <w:r w:rsidR="00BE595C">
        <w:rPr>
          <w:rFonts w:ascii="Arial" w:hAnsi="Arial" w:cs="Arial"/>
          <w:sz w:val="24"/>
          <w:szCs w:val="24"/>
        </w:rPr>
        <w:t>. 3)</w:t>
      </w:r>
      <w:r w:rsidRPr="00A776E1">
        <w:rPr>
          <w:rFonts w:ascii="Arial" w:hAnsi="Arial" w:cs="Arial"/>
          <w:sz w:val="24"/>
          <w:szCs w:val="24"/>
        </w:rPr>
        <w:t xml:space="preserve">. A decenni di distanza, i problemi etici sono notevolmente aumentati; </w:t>
      </w:r>
      <w:r w:rsidR="00BE595C">
        <w:rPr>
          <w:rFonts w:ascii="Arial" w:hAnsi="Arial" w:cs="Arial"/>
          <w:sz w:val="24"/>
          <w:szCs w:val="24"/>
        </w:rPr>
        <w:t>per</w:t>
      </w:r>
      <w:r w:rsidR="00A05AA6">
        <w:rPr>
          <w:rFonts w:ascii="Arial" w:hAnsi="Arial" w:cs="Arial"/>
          <w:sz w:val="24"/>
          <w:szCs w:val="24"/>
        </w:rPr>
        <w:t xml:space="preserve">ciò </w:t>
      </w:r>
      <w:r w:rsidR="00BE595C">
        <w:rPr>
          <w:rFonts w:ascii="Arial" w:hAnsi="Arial" w:cs="Arial"/>
          <w:sz w:val="24"/>
          <w:szCs w:val="24"/>
        </w:rPr>
        <w:t>è richiest</w:t>
      </w:r>
      <w:r w:rsidR="00A05AA6">
        <w:rPr>
          <w:rFonts w:ascii="Arial" w:hAnsi="Arial" w:cs="Arial"/>
          <w:sz w:val="24"/>
          <w:szCs w:val="24"/>
        </w:rPr>
        <w:t>a</w:t>
      </w:r>
      <w:r w:rsidR="00BE595C">
        <w:rPr>
          <w:rFonts w:ascii="Arial" w:hAnsi="Arial" w:cs="Arial"/>
          <w:sz w:val="24"/>
          <w:szCs w:val="24"/>
        </w:rPr>
        <w:t xml:space="preserve"> a tutti coloro che operano nel settore della genetica la massima prudenza e </w:t>
      </w:r>
      <w:r w:rsidR="00A05AA6">
        <w:rPr>
          <w:rFonts w:ascii="Arial" w:hAnsi="Arial" w:cs="Arial"/>
          <w:sz w:val="24"/>
          <w:szCs w:val="24"/>
        </w:rPr>
        <w:t xml:space="preserve">la più grande </w:t>
      </w:r>
      <w:r w:rsidR="00BE595C">
        <w:rPr>
          <w:rFonts w:ascii="Arial" w:hAnsi="Arial" w:cs="Arial"/>
          <w:sz w:val="24"/>
          <w:szCs w:val="24"/>
        </w:rPr>
        <w:t xml:space="preserve">precauzione </w:t>
      </w:r>
      <w:r w:rsidR="00A05AA6">
        <w:rPr>
          <w:rFonts w:ascii="Arial" w:hAnsi="Arial" w:cs="Arial"/>
          <w:sz w:val="24"/>
          <w:szCs w:val="24"/>
        </w:rPr>
        <w:t>che permetta di far tesoro</w:t>
      </w:r>
      <w:r w:rsidR="00BE595C" w:rsidRPr="00BE595C">
        <w:rPr>
          <w:rFonts w:ascii="Arial" w:hAnsi="Arial" w:cs="Arial"/>
          <w:sz w:val="24"/>
          <w:szCs w:val="24"/>
        </w:rPr>
        <w:t xml:space="preserve"> </w:t>
      </w:r>
      <w:r w:rsidR="00A05AA6">
        <w:rPr>
          <w:rFonts w:ascii="Arial" w:hAnsi="Arial" w:cs="Arial"/>
          <w:sz w:val="24"/>
          <w:szCs w:val="24"/>
        </w:rPr>
        <w:t>del</w:t>
      </w:r>
      <w:r w:rsidR="00BE595C" w:rsidRPr="00BE595C">
        <w:rPr>
          <w:rFonts w:ascii="Arial" w:hAnsi="Arial" w:cs="Arial"/>
          <w:sz w:val="24"/>
          <w:szCs w:val="24"/>
        </w:rPr>
        <w:t xml:space="preserve">l’esperienza del passato, </w:t>
      </w:r>
      <w:r w:rsidR="00A05AA6">
        <w:rPr>
          <w:rFonts w:ascii="Arial" w:hAnsi="Arial" w:cs="Arial"/>
          <w:sz w:val="24"/>
          <w:szCs w:val="24"/>
        </w:rPr>
        <w:t xml:space="preserve">di procedere con </w:t>
      </w:r>
      <w:r w:rsidR="00BE595C" w:rsidRPr="00BE595C">
        <w:rPr>
          <w:rFonts w:ascii="Arial" w:hAnsi="Arial" w:cs="Arial"/>
          <w:sz w:val="24"/>
          <w:szCs w:val="24"/>
        </w:rPr>
        <w:t xml:space="preserve">oculatezza </w:t>
      </w:r>
      <w:r w:rsidR="00A05AA6">
        <w:rPr>
          <w:rFonts w:ascii="Arial" w:hAnsi="Arial" w:cs="Arial"/>
          <w:sz w:val="24"/>
          <w:szCs w:val="24"/>
        </w:rPr>
        <w:t xml:space="preserve">nel presente </w:t>
      </w:r>
      <w:r w:rsidR="00BE595C" w:rsidRPr="00BE595C">
        <w:rPr>
          <w:rFonts w:ascii="Arial" w:hAnsi="Arial" w:cs="Arial"/>
          <w:sz w:val="24"/>
          <w:szCs w:val="24"/>
        </w:rPr>
        <w:t xml:space="preserve">e </w:t>
      </w:r>
      <w:r w:rsidR="00A05AA6">
        <w:rPr>
          <w:rFonts w:ascii="Arial" w:hAnsi="Arial" w:cs="Arial"/>
          <w:sz w:val="24"/>
          <w:szCs w:val="24"/>
        </w:rPr>
        <w:t xml:space="preserve">di prevedere </w:t>
      </w:r>
      <w:r w:rsidR="00BE595C" w:rsidRPr="00BE595C">
        <w:rPr>
          <w:rFonts w:ascii="Arial" w:hAnsi="Arial" w:cs="Arial"/>
          <w:sz w:val="24"/>
          <w:szCs w:val="24"/>
        </w:rPr>
        <w:t xml:space="preserve">rischi che potrebbero compromettere il futuro. </w:t>
      </w:r>
    </w:p>
    <w:p w:rsidR="00BE595C" w:rsidRDefault="00BE595C" w:rsidP="00BE595C">
      <w:pPr>
        <w:ind w:firstLine="708"/>
        <w:rPr>
          <w:rFonts w:ascii="Arial" w:hAnsi="Arial" w:cs="Arial"/>
          <w:sz w:val="24"/>
          <w:szCs w:val="24"/>
        </w:rPr>
      </w:pPr>
    </w:p>
    <w:p w:rsidR="00BE595C" w:rsidRDefault="00BE595C" w:rsidP="00BE595C">
      <w:pPr>
        <w:ind w:firstLine="708"/>
        <w:rPr>
          <w:rFonts w:ascii="Arial" w:hAnsi="Arial" w:cs="Arial"/>
          <w:sz w:val="24"/>
          <w:szCs w:val="24"/>
        </w:rPr>
      </w:pPr>
    </w:p>
    <w:sectPr w:rsidR="00BE595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507" w:rsidRDefault="00DC1507" w:rsidP="00DC1507">
      <w:pPr>
        <w:spacing w:line="240" w:lineRule="auto"/>
      </w:pPr>
      <w:r>
        <w:separator/>
      </w:r>
    </w:p>
  </w:endnote>
  <w:endnote w:type="continuationSeparator" w:id="0">
    <w:p w:rsidR="00DC1507" w:rsidRDefault="00DC1507" w:rsidP="00DC15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507" w:rsidRDefault="00DC1507" w:rsidP="00DC1507">
      <w:pPr>
        <w:spacing w:line="240" w:lineRule="auto"/>
      </w:pPr>
      <w:r>
        <w:separator/>
      </w:r>
    </w:p>
  </w:footnote>
  <w:footnote w:type="continuationSeparator" w:id="0">
    <w:p w:rsidR="00DC1507" w:rsidRDefault="00DC1507" w:rsidP="00DC15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6B89"/>
    <w:multiLevelType w:val="hybridMultilevel"/>
    <w:tmpl w:val="8E04C474"/>
    <w:lvl w:ilvl="0" w:tplc="2A6E34BC">
      <w:start w:val="1"/>
      <w:numFmt w:val="lowerLetter"/>
      <w:lvlText w:val="%1."/>
      <w:lvlJc w:val="left"/>
      <w:pPr>
        <w:tabs>
          <w:tab w:val="num" w:pos="1680"/>
        </w:tabs>
        <w:ind w:left="1680" w:hanging="360"/>
      </w:pPr>
    </w:lvl>
    <w:lvl w:ilvl="1" w:tplc="04100019" w:tentative="1">
      <w:start w:val="1"/>
      <w:numFmt w:val="lowerLetter"/>
      <w:lvlText w:val="%2."/>
      <w:lvlJc w:val="left"/>
      <w:pPr>
        <w:tabs>
          <w:tab w:val="num" w:pos="1680"/>
        </w:tabs>
        <w:ind w:left="1680" w:hanging="360"/>
      </w:pPr>
    </w:lvl>
    <w:lvl w:ilvl="2" w:tplc="0410001B" w:tentative="1">
      <w:start w:val="1"/>
      <w:numFmt w:val="lowerRoman"/>
      <w:lvlText w:val="%3."/>
      <w:lvlJc w:val="right"/>
      <w:pPr>
        <w:tabs>
          <w:tab w:val="num" w:pos="2400"/>
        </w:tabs>
        <w:ind w:left="2400" w:hanging="180"/>
      </w:pPr>
    </w:lvl>
    <w:lvl w:ilvl="3" w:tplc="0410000F" w:tentative="1">
      <w:start w:val="1"/>
      <w:numFmt w:val="decimal"/>
      <w:lvlText w:val="%4."/>
      <w:lvlJc w:val="left"/>
      <w:pPr>
        <w:tabs>
          <w:tab w:val="num" w:pos="3120"/>
        </w:tabs>
        <w:ind w:left="3120" w:hanging="360"/>
      </w:pPr>
    </w:lvl>
    <w:lvl w:ilvl="4" w:tplc="04100019" w:tentative="1">
      <w:start w:val="1"/>
      <w:numFmt w:val="lowerLetter"/>
      <w:lvlText w:val="%5."/>
      <w:lvlJc w:val="left"/>
      <w:pPr>
        <w:tabs>
          <w:tab w:val="num" w:pos="3840"/>
        </w:tabs>
        <w:ind w:left="3840" w:hanging="360"/>
      </w:pPr>
    </w:lvl>
    <w:lvl w:ilvl="5" w:tplc="0410001B" w:tentative="1">
      <w:start w:val="1"/>
      <w:numFmt w:val="lowerRoman"/>
      <w:lvlText w:val="%6."/>
      <w:lvlJc w:val="right"/>
      <w:pPr>
        <w:tabs>
          <w:tab w:val="num" w:pos="4560"/>
        </w:tabs>
        <w:ind w:left="4560" w:hanging="180"/>
      </w:pPr>
    </w:lvl>
    <w:lvl w:ilvl="6" w:tplc="0410000F" w:tentative="1">
      <w:start w:val="1"/>
      <w:numFmt w:val="decimal"/>
      <w:lvlText w:val="%7."/>
      <w:lvlJc w:val="left"/>
      <w:pPr>
        <w:tabs>
          <w:tab w:val="num" w:pos="5280"/>
        </w:tabs>
        <w:ind w:left="5280" w:hanging="360"/>
      </w:pPr>
    </w:lvl>
    <w:lvl w:ilvl="7" w:tplc="04100019" w:tentative="1">
      <w:start w:val="1"/>
      <w:numFmt w:val="lowerLetter"/>
      <w:lvlText w:val="%8."/>
      <w:lvlJc w:val="left"/>
      <w:pPr>
        <w:tabs>
          <w:tab w:val="num" w:pos="6000"/>
        </w:tabs>
        <w:ind w:left="6000" w:hanging="360"/>
      </w:pPr>
    </w:lvl>
    <w:lvl w:ilvl="8" w:tplc="0410001B" w:tentative="1">
      <w:start w:val="1"/>
      <w:numFmt w:val="lowerRoman"/>
      <w:lvlText w:val="%9."/>
      <w:lvlJc w:val="right"/>
      <w:pPr>
        <w:tabs>
          <w:tab w:val="num" w:pos="6720"/>
        </w:tabs>
        <w:ind w:left="6720" w:hanging="180"/>
      </w:pPr>
    </w:lvl>
  </w:abstractNum>
  <w:abstractNum w:abstractNumId="1">
    <w:nsid w:val="03C708BA"/>
    <w:multiLevelType w:val="hybridMultilevel"/>
    <w:tmpl w:val="875AEC28"/>
    <w:lvl w:ilvl="0" w:tplc="110C6EB4">
      <w:start w:val="1"/>
      <w:numFmt w:val="upperLetter"/>
      <w:lvlText w:val="%1."/>
      <w:lvlJc w:val="left"/>
      <w:pPr>
        <w:tabs>
          <w:tab w:val="num" w:pos="720"/>
        </w:tabs>
        <w:ind w:left="720" w:hanging="360"/>
      </w:pPr>
      <w:rPr>
        <w:rFonts w:ascii="Arial" w:hAnsi="Arial" w:cs="Arial"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0C2A618B"/>
    <w:multiLevelType w:val="multilevel"/>
    <w:tmpl w:val="03E6EBD0"/>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CF126BF"/>
    <w:multiLevelType w:val="multilevel"/>
    <w:tmpl w:val="527A87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31250D2"/>
    <w:multiLevelType w:val="multilevel"/>
    <w:tmpl w:val="875AEC28"/>
    <w:lvl w:ilvl="0">
      <w:start w:val="1"/>
      <w:numFmt w:val="upperLetter"/>
      <w:lvlText w:val="%1."/>
      <w:lvlJc w:val="left"/>
      <w:pPr>
        <w:tabs>
          <w:tab w:val="num" w:pos="720"/>
        </w:tabs>
        <w:ind w:left="720" w:hanging="360"/>
      </w:pPr>
      <w:rPr>
        <w:rFonts w:ascii="Arial" w:hAnsi="Arial" w:cs="Arial"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735C5E"/>
    <w:multiLevelType w:val="multilevel"/>
    <w:tmpl w:val="0080AE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9A45A4F"/>
    <w:multiLevelType w:val="multilevel"/>
    <w:tmpl w:val="F56E0570"/>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04F2C38"/>
    <w:multiLevelType w:val="multilevel"/>
    <w:tmpl w:val="18E09004"/>
    <w:lvl w:ilvl="0">
      <w:start w:val="1"/>
      <w:numFmt w:val="bullet"/>
      <w:lvlText w:val="-"/>
      <w:lvlJc w:val="left"/>
      <w:pPr>
        <w:tabs>
          <w:tab w:val="num" w:pos="720"/>
        </w:tabs>
        <w:ind w:left="720" w:hanging="360"/>
      </w:pPr>
      <w:rPr>
        <w:rFonts w:ascii="Arial Narrow" w:eastAsia="Times New Roman" w:hAnsi="Arial Narrow"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4835FA3"/>
    <w:multiLevelType w:val="hybridMultilevel"/>
    <w:tmpl w:val="18E09004"/>
    <w:lvl w:ilvl="0" w:tplc="E20475D6">
      <w:start w:val="1"/>
      <w:numFmt w:val="bullet"/>
      <w:lvlText w:val="-"/>
      <w:lvlJc w:val="left"/>
      <w:pPr>
        <w:tabs>
          <w:tab w:val="num" w:pos="720"/>
        </w:tabs>
        <w:ind w:left="720" w:hanging="360"/>
      </w:pPr>
      <w:rPr>
        <w:rFonts w:ascii="Arial Narrow" w:eastAsia="Times New Roman" w:hAnsi="Arial Narrow"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A826DAB"/>
    <w:multiLevelType w:val="multilevel"/>
    <w:tmpl w:val="EB98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425322"/>
    <w:multiLevelType w:val="multilevel"/>
    <w:tmpl w:val="EB98D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43F0206F"/>
    <w:multiLevelType w:val="hybridMultilevel"/>
    <w:tmpl w:val="527A87F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526114EE"/>
    <w:multiLevelType w:val="hybridMultilevel"/>
    <w:tmpl w:val="75A4845C"/>
    <w:lvl w:ilvl="0" w:tplc="D1B2231C">
      <w:start w:val="1"/>
      <w:numFmt w:val="upperLetter"/>
      <w:lvlText w:val="%1."/>
      <w:lvlJc w:val="left"/>
      <w:pPr>
        <w:tabs>
          <w:tab w:val="num" w:pos="765"/>
        </w:tabs>
        <w:ind w:left="765" w:hanging="4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nsid w:val="5A303215"/>
    <w:multiLevelType w:val="multilevel"/>
    <w:tmpl w:val="0742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200654"/>
    <w:multiLevelType w:val="multilevel"/>
    <w:tmpl w:val="0080A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AE3C8C"/>
    <w:multiLevelType w:val="hybridMultilevel"/>
    <w:tmpl w:val="F56E0570"/>
    <w:lvl w:ilvl="0" w:tplc="2A6E34BC">
      <w:start w:val="1"/>
      <w:numFmt w:val="lowerLetter"/>
      <w:lvlText w:val="%1."/>
      <w:lvlJc w:val="left"/>
      <w:pPr>
        <w:tabs>
          <w:tab w:val="num" w:pos="1440"/>
        </w:tabs>
        <w:ind w:left="144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nsid w:val="6BBD7BB3"/>
    <w:multiLevelType w:val="multilevel"/>
    <w:tmpl w:val="A8A8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68027A"/>
    <w:multiLevelType w:val="multilevel"/>
    <w:tmpl w:val="75A4845C"/>
    <w:lvl w:ilvl="0">
      <w:start w:val="1"/>
      <w:numFmt w:val="upperLetter"/>
      <w:lvlText w:val="%1."/>
      <w:lvlJc w:val="left"/>
      <w:pPr>
        <w:tabs>
          <w:tab w:val="num" w:pos="765"/>
        </w:tabs>
        <w:ind w:left="765" w:hanging="4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A27CF31"/>
    <w:multiLevelType w:val="hybridMultilevel"/>
    <w:tmpl w:val="0576AAA5"/>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7C5E6C4D"/>
    <w:multiLevelType w:val="multilevel"/>
    <w:tmpl w:val="0742E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7C6D4234"/>
    <w:multiLevelType w:val="hybridMultilevel"/>
    <w:tmpl w:val="03E6EBD0"/>
    <w:lvl w:ilvl="0" w:tplc="2A6E34BC">
      <w:start w:val="1"/>
      <w:numFmt w:val="lowerLetter"/>
      <w:lvlText w:val="%1."/>
      <w:lvlJc w:val="left"/>
      <w:pPr>
        <w:tabs>
          <w:tab w:val="num" w:pos="1440"/>
        </w:tabs>
        <w:ind w:left="144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1"/>
  </w:num>
  <w:num w:numId="2">
    <w:abstractNumId w:val="3"/>
  </w:num>
  <w:num w:numId="3">
    <w:abstractNumId w:val="13"/>
  </w:num>
  <w:num w:numId="4">
    <w:abstractNumId w:val="19"/>
  </w:num>
  <w:num w:numId="5">
    <w:abstractNumId w:val="8"/>
  </w:num>
  <w:num w:numId="6">
    <w:abstractNumId w:val="7"/>
  </w:num>
  <w:num w:numId="7">
    <w:abstractNumId w:val="18"/>
  </w:num>
  <w:num w:numId="8">
    <w:abstractNumId w:val="14"/>
  </w:num>
  <w:num w:numId="9">
    <w:abstractNumId w:val="5"/>
  </w:num>
  <w:num w:numId="10">
    <w:abstractNumId w:val="16"/>
  </w:num>
  <w:num w:numId="11">
    <w:abstractNumId w:val="20"/>
  </w:num>
  <w:num w:numId="12">
    <w:abstractNumId w:val="15"/>
  </w:num>
  <w:num w:numId="13">
    <w:abstractNumId w:val="0"/>
  </w:num>
  <w:num w:numId="14">
    <w:abstractNumId w:val="2"/>
  </w:num>
  <w:num w:numId="15">
    <w:abstractNumId w:val="6"/>
  </w:num>
  <w:num w:numId="16">
    <w:abstractNumId w:val="1"/>
  </w:num>
  <w:num w:numId="17">
    <w:abstractNumId w:val="4"/>
  </w:num>
  <w:num w:numId="18">
    <w:abstractNumId w:val="12"/>
  </w:num>
  <w:num w:numId="19">
    <w:abstractNumId w:val="17"/>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507"/>
    <w:rsid w:val="001D11F1"/>
    <w:rsid w:val="0047216B"/>
    <w:rsid w:val="00A05AA6"/>
    <w:rsid w:val="00A776E1"/>
    <w:rsid w:val="00B607D7"/>
    <w:rsid w:val="00BE595C"/>
    <w:rsid w:val="00DC1507"/>
    <w:rsid w:val="00EB73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Cite"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qFormat/>
    <w:rsid w:val="00DC1507"/>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it-IT"/>
    </w:rPr>
  </w:style>
  <w:style w:type="paragraph" w:styleId="Titolo3">
    <w:name w:val="heading 3"/>
    <w:basedOn w:val="Normale"/>
    <w:next w:val="Normale"/>
    <w:link w:val="Titolo3Carattere"/>
    <w:qFormat/>
    <w:rsid w:val="00DC1507"/>
    <w:pPr>
      <w:keepNext/>
      <w:spacing w:before="240" w:after="60" w:line="240" w:lineRule="auto"/>
      <w:jc w:val="left"/>
      <w:outlineLvl w:val="2"/>
    </w:pPr>
    <w:rPr>
      <w:rFonts w:ascii="Arial" w:eastAsia="Times New Roman" w:hAnsi="Arial" w:cs="Arial"/>
      <w:b/>
      <w:bCs/>
      <w:sz w:val="26"/>
      <w:szCs w:val="26"/>
      <w:lang w:eastAsia="it-IT"/>
    </w:rPr>
  </w:style>
  <w:style w:type="paragraph" w:styleId="Titolo4">
    <w:name w:val="heading 4"/>
    <w:basedOn w:val="Normale"/>
    <w:next w:val="Normale"/>
    <w:link w:val="Titolo4Carattere"/>
    <w:qFormat/>
    <w:rsid w:val="00DC1507"/>
    <w:pPr>
      <w:keepNext/>
      <w:spacing w:before="240" w:after="60" w:line="240" w:lineRule="auto"/>
      <w:jc w:val="left"/>
      <w:outlineLvl w:val="3"/>
    </w:pPr>
    <w:rPr>
      <w:rFonts w:ascii="Times New Roman" w:eastAsia="Times New Roman" w:hAnsi="Times New Roman" w:cs="Times New Roman"/>
      <w:b/>
      <w:bCs/>
      <w:sz w:val="28"/>
      <w:szCs w:val="28"/>
      <w:lang w:eastAsia="it-IT"/>
    </w:rPr>
  </w:style>
  <w:style w:type="paragraph" w:styleId="Titolo8">
    <w:name w:val="heading 8"/>
    <w:basedOn w:val="Normale"/>
    <w:next w:val="Normale"/>
    <w:link w:val="Titolo8Carattere"/>
    <w:qFormat/>
    <w:rsid w:val="00DC1507"/>
    <w:pPr>
      <w:spacing w:before="240" w:after="60" w:line="240" w:lineRule="auto"/>
      <w:jc w:val="left"/>
      <w:outlineLvl w:val="7"/>
    </w:pPr>
    <w:rPr>
      <w:rFonts w:ascii="Times New Roman" w:eastAsia="Times New Roman" w:hAnsi="Times New Roman" w:cs="Times New Roman"/>
      <w:i/>
      <w:i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DC1507"/>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rsid w:val="00DC1507"/>
    <w:rPr>
      <w:rFonts w:ascii="Arial" w:eastAsia="Times New Roman" w:hAnsi="Arial" w:cs="Arial"/>
      <w:b/>
      <w:bCs/>
      <w:sz w:val="26"/>
      <w:szCs w:val="26"/>
      <w:lang w:eastAsia="it-IT"/>
    </w:rPr>
  </w:style>
  <w:style w:type="character" w:customStyle="1" w:styleId="Titolo4Carattere">
    <w:name w:val="Titolo 4 Carattere"/>
    <w:basedOn w:val="Carpredefinitoparagrafo"/>
    <w:link w:val="Titolo4"/>
    <w:rsid w:val="00DC1507"/>
    <w:rPr>
      <w:rFonts w:ascii="Times New Roman" w:eastAsia="Times New Roman" w:hAnsi="Times New Roman" w:cs="Times New Roman"/>
      <w:b/>
      <w:bCs/>
      <w:sz w:val="28"/>
      <w:szCs w:val="28"/>
      <w:lang w:eastAsia="it-IT"/>
    </w:rPr>
  </w:style>
  <w:style w:type="character" w:customStyle="1" w:styleId="Titolo8Carattere">
    <w:name w:val="Titolo 8 Carattere"/>
    <w:basedOn w:val="Carpredefinitoparagrafo"/>
    <w:link w:val="Titolo8"/>
    <w:rsid w:val="00DC1507"/>
    <w:rPr>
      <w:rFonts w:ascii="Times New Roman" w:eastAsia="Times New Roman" w:hAnsi="Times New Roman" w:cs="Times New Roman"/>
      <w:i/>
      <w:iCs/>
      <w:sz w:val="24"/>
      <w:szCs w:val="24"/>
      <w:lang w:eastAsia="it-IT"/>
    </w:rPr>
  </w:style>
  <w:style w:type="paragraph" w:styleId="NormaleWeb">
    <w:name w:val="Normal (Web)"/>
    <w:basedOn w:val="Normale"/>
    <w:rsid w:val="00DC1507"/>
    <w:pPr>
      <w:spacing w:before="100" w:beforeAutospacing="1" w:after="100" w:afterAutospacing="1" w:line="195" w:lineRule="atLeast"/>
      <w:jc w:val="left"/>
    </w:pPr>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semiHidden/>
    <w:rsid w:val="00DC1507"/>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DC15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semiHidden/>
    <w:rsid w:val="00DC1507"/>
    <w:rPr>
      <w:vertAlign w:val="superscript"/>
    </w:rPr>
  </w:style>
  <w:style w:type="paragraph" w:styleId="Pidipagina">
    <w:name w:val="footer"/>
    <w:basedOn w:val="Normale"/>
    <w:link w:val="PidipaginaCarattere"/>
    <w:rsid w:val="00DC1507"/>
    <w:pPr>
      <w:tabs>
        <w:tab w:val="center" w:pos="4819"/>
        <w:tab w:val="right" w:pos="9638"/>
      </w:tabs>
      <w:spacing w:line="240" w:lineRule="auto"/>
      <w:jc w:val="left"/>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rsid w:val="00DC1507"/>
    <w:rPr>
      <w:rFonts w:ascii="Times New Roman" w:eastAsia="Times New Roman" w:hAnsi="Times New Roman" w:cs="Times New Roman"/>
      <w:sz w:val="24"/>
      <w:szCs w:val="24"/>
      <w:lang w:eastAsia="it-IT"/>
    </w:rPr>
  </w:style>
  <w:style w:type="character" w:styleId="Numeropagina">
    <w:name w:val="page number"/>
    <w:basedOn w:val="Carpredefinitoparagrafo"/>
    <w:rsid w:val="00DC1507"/>
  </w:style>
  <w:style w:type="character" w:styleId="Collegamentoipertestuale">
    <w:name w:val="Hyperlink"/>
    <w:basedOn w:val="Carpredefinitoparagrafo"/>
    <w:rsid w:val="00DC1507"/>
    <w:rPr>
      <w:color w:val="0000FF"/>
      <w:u w:val="single"/>
    </w:rPr>
  </w:style>
  <w:style w:type="character" w:customStyle="1" w:styleId="mw-headline">
    <w:name w:val="mw-headline"/>
    <w:basedOn w:val="Carpredefinitoparagrafo"/>
    <w:rsid w:val="00DC1507"/>
  </w:style>
  <w:style w:type="character" w:customStyle="1" w:styleId="editsection">
    <w:name w:val="editsection"/>
    <w:basedOn w:val="Carpredefinitoparagrafo"/>
    <w:rsid w:val="00DC1507"/>
  </w:style>
  <w:style w:type="character" w:styleId="CitazioneHTML">
    <w:name w:val="HTML Cite"/>
    <w:basedOn w:val="Carpredefinitoparagrafo"/>
    <w:rsid w:val="00DC1507"/>
    <w:rPr>
      <w:i/>
      <w:iCs/>
    </w:rPr>
  </w:style>
  <w:style w:type="character" w:styleId="Collegamentovisitato">
    <w:name w:val="FollowedHyperlink"/>
    <w:basedOn w:val="Carpredefinitoparagrafo"/>
    <w:rsid w:val="00DC1507"/>
    <w:rPr>
      <w:color w:val="800080"/>
      <w:u w:val="single"/>
    </w:rPr>
  </w:style>
  <w:style w:type="character" w:customStyle="1" w:styleId="didascalia2">
    <w:name w:val="didascalia2"/>
    <w:basedOn w:val="Carpredefinitoparagrafo"/>
    <w:rsid w:val="00DC1507"/>
    <w:rPr>
      <w:rFonts w:ascii="Arial" w:hAnsi="Arial" w:cs="Arial" w:hint="default"/>
      <w:b w:val="0"/>
      <w:bCs w:val="0"/>
      <w:vanish w:val="0"/>
      <w:webHidden w:val="0"/>
      <w:color w:val="33546F"/>
      <w:sz w:val="26"/>
      <w:szCs w:val="26"/>
      <w:specVanish w:val="0"/>
    </w:rPr>
  </w:style>
  <w:style w:type="character" w:styleId="Enfasicorsivo">
    <w:name w:val="Emphasis"/>
    <w:basedOn w:val="Carpredefinitoparagrafo"/>
    <w:qFormat/>
    <w:rsid w:val="00DC1507"/>
    <w:rPr>
      <w:i/>
      <w:iCs/>
    </w:rPr>
  </w:style>
  <w:style w:type="character" w:customStyle="1" w:styleId="sc">
    <w:name w:val="sc"/>
    <w:basedOn w:val="Carpredefinitoparagrafo"/>
    <w:rsid w:val="00DC1507"/>
  </w:style>
  <w:style w:type="paragraph" w:styleId="Testofumetto">
    <w:name w:val="Balloon Text"/>
    <w:basedOn w:val="Normale"/>
    <w:link w:val="TestofumettoCarattere"/>
    <w:semiHidden/>
    <w:rsid w:val="00DC1507"/>
    <w:pPr>
      <w:spacing w:line="240" w:lineRule="auto"/>
      <w:jc w:val="left"/>
    </w:pPr>
    <w:rPr>
      <w:rFonts w:ascii="Tahoma" w:eastAsia="Times New Roman" w:hAnsi="Tahoma" w:cs="Tahoma"/>
      <w:sz w:val="16"/>
      <w:szCs w:val="16"/>
      <w:lang w:eastAsia="it-IT"/>
    </w:rPr>
  </w:style>
  <w:style w:type="character" w:customStyle="1" w:styleId="TestofumettoCarattere">
    <w:name w:val="Testo fumetto Carattere"/>
    <w:basedOn w:val="Carpredefinitoparagrafo"/>
    <w:link w:val="Testofumetto"/>
    <w:semiHidden/>
    <w:rsid w:val="00DC1507"/>
    <w:rPr>
      <w:rFonts w:ascii="Tahoma" w:eastAsia="Times New Roman" w:hAnsi="Tahoma" w:cs="Tahoma"/>
      <w:sz w:val="16"/>
      <w:szCs w:val="16"/>
      <w:lang w:eastAsia="it-IT"/>
    </w:rPr>
  </w:style>
  <w:style w:type="character" w:customStyle="1" w:styleId="corsivo">
    <w:name w:val="corsivo"/>
    <w:basedOn w:val="Carpredefinitoparagrafo"/>
    <w:rsid w:val="00DC1507"/>
  </w:style>
  <w:style w:type="table" w:styleId="Grigliatabella">
    <w:name w:val="Table Grid"/>
    <w:basedOn w:val="Tabellanormale"/>
    <w:rsid w:val="00DC1507"/>
    <w:pPr>
      <w:spacing w:line="240" w:lineRule="auto"/>
      <w:jc w:val="left"/>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econtalledesctext">
    <w:name w:val="page_cont_alle_desc_text"/>
    <w:basedOn w:val="Normale"/>
    <w:rsid w:val="00DC1507"/>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paragraph" w:customStyle="1" w:styleId="imalignleft">
    <w:name w:val="imalign_left"/>
    <w:basedOn w:val="Normale"/>
    <w:rsid w:val="00DC1507"/>
    <w:pPr>
      <w:spacing w:line="240" w:lineRule="auto"/>
      <w:jc w:val="left"/>
    </w:pPr>
    <w:rPr>
      <w:rFonts w:ascii="Times New Roman" w:eastAsia="Times New Roman" w:hAnsi="Times New Roman" w:cs="Times New Roman"/>
      <w:sz w:val="24"/>
      <w:szCs w:val="24"/>
      <w:lang w:eastAsia="it-IT"/>
    </w:rPr>
  </w:style>
  <w:style w:type="character" w:customStyle="1" w:styleId="ff4fc3fs10">
    <w:name w:val="ff4 fc3 fs10"/>
    <w:basedOn w:val="Carpredefinitoparagrafo"/>
    <w:rsid w:val="00DC1507"/>
  </w:style>
  <w:style w:type="character" w:customStyle="1" w:styleId="ff2fc0fs10">
    <w:name w:val="ff2 fc0 fs10"/>
    <w:basedOn w:val="Carpredefinitoparagrafo"/>
    <w:rsid w:val="00DC1507"/>
  </w:style>
  <w:style w:type="character" w:styleId="Enfasigrassetto">
    <w:name w:val="Strong"/>
    <w:basedOn w:val="Carpredefinitoparagrafo"/>
    <w:qFormat/>
    <w:rsid w:val="00DC1507"/>
    <w:rPr>
      <w:b/>
      <w:bCs/>
    </w:rPr>
  </w:style>
  <w:style w:type="character" w:customStyle="1" w:styleId="body11">
    <w:name w:val="body11"/>
    <w:basedOn w:val="Carpredefinitoparagrafo"/>
    <w:rsid w:val="00DC1507"/>
  </w:style>
  <w:style w:type="paragraph" w:customStyle="1" w:styleId="Default">
    <w:name w:val="Default"/>
    <w:rsid w:val="00DC1507"/>
    <w:pPr>
      <w:autoSpaceDE w:val="0"/>
      <w:autoSpaceDN w:val="0"/>
      <w:adjustRightInd w:val="0"/>
      <w:spacing w:line="240" w:lineRule="auto"/>
      <w:jc w:val="left"/>
    </w:pPr>
    <w:rPr>
      <w:rFonts w:ascii="Arial" w:eastAsia="Times New Roman" w:hAnsi="Arial" w:cs="Arial"/>
      <w:color w:val="000000"/>
      <w:sz w:val="24"/>
      <w:szCs w:val="24"/>
      <w:lang w:eastAsia="it-IT"/>
    </w:rPr>
  </w:style>
  <w:style w:type="paragraph" w:styleId="Corpotesto">
    <w:name w:val="Body Text"/>
    <w:basedOn w:val="Normale"/>
    <w:link w:val="CorpotestoCarattere"/>
    <w:rsid w:val="00DC1507"/>
    <w:pPr>
      <w:spacing w:after="120" w:line="240" w:lineRule="auto"/>
      <w:ind w:left="57"/>
      <w:jc w:val="left"/>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DC1507"/>
    <w:rPr>
      <w:rFonts w:ascii="Times New Roman" w:eastAsia="Times New Roman" w:hAnsi="Times New Roman" w:cs="Times New Roman"/>
      <w:sz w:val="24"/>
      <w:szCs w:val="24"/>
      <w:lang w:eastAsia="it-IT"/>
    </w:rPr>
  </w:style>
  <w:style w:type="paragraph" w:styleId="Corpodeltesto3">
    <w:name w:val="Body Text 3"/>
    <w:basedOn w:val="Normale"/>
    <w:link w:val="Corpodeltesto3Carattere"/>
    <w:rsid w:val="00DC1507"/>
    <w:pPr>
      <w:spacing w:line="240" w:lineRule="auto"/>
    </w:pPr>
    <w:rPr>
      <w:rFonts w:ascii="Times New Roman" w:eastAsia="Times New Roman" w:hAnsi="Times New Roman" w:cs="Times New Roman"/>
      <w:i/>
      <w:iCs/>
      <w:sz w:val="24"/>
      <w:szCs w:val="20"/>
      <w:lang w:eastAsia="it-IT"/>
    </w:rPr>
  </w:style>
  <w:style w:type="character" w:customStyle="1" w:styleId="Corpodeltesto3Carattere">
    <w:name w:val="Corpo del testo 3 Carattere"/>
    <w:basedOn w:val="Carpredefinitoparagrafo"/>
    <w:link w:val="Corpodeltesto3"/>
    <w:rsid w:val="00DC1507"/>
    <w:rPr>
      <w:rFonts w:ascii="Times New Roman" w:eastAsia="Times New Roman" w:hAnsi="Times New Roman" w:cs="Times New Roman"/>
      <w:i/>
      <w:iCs/>
      <w:sz w:val="24"/>
      <w:szCs w:val="20"/>
      <w:lang w:eastAsia="it-IT"/>
    </w:rPr>
  </w:style>
  <w:style w:type="paragraph" w:styleId="Rientrocorpodeltesto2">
    <w:name w:val="Body Text Indent 2"/>
    <w:basedOn w:val="Normale"/>
    <w:link w:val="Rientrocorpodeltesto2Carattere"/>
    <w:rsid w:val="00DC1507"/>
    <w:pPr>
      <w:spacing w:line="240" w:lineRule="auto"/>
      <w:ind w:left="540"/>
      <w:jc w:val="left"/>
    </w:pPr>
    <w:rPr>
      <w:rFonts w:ascii="Times New Roman" w:eastAsia="Times New Roman" w:hAnsi="Times New Roman" w:cs="Times New Roman"/>
      <w:sz w:val="28"/>
      <w:szCs w:val="24"/>
      <w:lang w:eastAsia="it-IT"/>
    </w:rPr>
  </w:style>
  <w:style w:type="character" w:customStyle="1" w:styleId="Rientrocorpodeltesto2Carattere">
    <w:name w:val="Rientro corpo del testo 2 Carattere"/>
    <w:basedOn w:val="Carpredefinitoparagrafo"/>
    <w:link w:val="Rientrocorpodeltesto2"/>
    <w:rsid w:val="00DC1507"/>
    <w:rPr>
      <w:rFonts w:ascii="Times New Roman" w:eastAsia="Times New Roman" w:hAnsi="Times New Roman" w:cs="Times New Roman"/>
      <w:sz w:val="28"/>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Cite"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qFormat/>
    <w:rsid w:val="00DC1507"/>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it-IT"/>
    </w:rPr>
  </w:style>
  <w:style w:type="paragraph" w:styleId="Titolo3">
    <w:name w:val="heading 3"/>
    <w:basedOn w:val="Normale"/>
    <w:next w:val="Normale"/>
    <w:link w:val="Titolo3Carattere"/>
    <w:qFormat/>
    <w:rsid w:val="00DC1507"/>
    <w:pPr>
      <w:keepNext/>
      <w:spacing w:before="240" w:after="60" w:line="240" w:lineRule="auto"/>
      <w:jc w:val="left"/>
      <w:outlineLvl w:val="2"/>
    </w:pPr>
    <w:rPr>
      <w:rFonts w:ascii="Arial" w:eastAsia="Times New Roman" w:hAnsi="Arial" w:cs="Arial"/>
      <w:b/>
      <w:bCs/>
      <w:sz w:val="26"/>
      <w:szCs w:val="26"/>
      <w:lang w:eastAsia="it-IT"/>
    </w:rPr>
  </w:style>
  <w:style w:type="paragraph" w:styleId="Titolo4">
    <w:name w:val="heading 4"/>
    <w:basedOn w:val="Normale"/>
    <w:next w:val="Normale"/>
    <w:link w:val="Titolo4Carattere"/>
    <w:qFormat/>
    <w:rsid w:val="00DC1507"/>
    <w:pPr>
      <w:keepNext/>
      <w:spacing w:before="240" w:after="60" w:line="240" w:lineRule="auto"/>
      <w:jc w:val="left"/>
      <w:outlineLvl w:val="3"/>
    </w:pPr>
    <w:rPr>
      <w:rFonts w:ascii="Times New Roman" w:eastAsia="Times New Roman" w:hAnsi="Times New Roman" w:cs="Times New Roman"/>
      <w:b/>
      <w:bCs/>
      <w:sz w:val="28"/>
      <w:szCs w:val="28"/>
      <w:lang w:eastAsia="it-IT"/>
    </w:rPr>
  </w:style>
  <w:style w:type="paragraph" w:styleId="Titolo8">
    <w:name w:val="heading 8"/>
    <w:basedOn w:val="Normale"/>
    <w:next w:val="Normale"/>
    <w:link w:val="Titolo8Carattere"/>
    <w:qFormat/>
    <w:rsid w:val="00DC1507"/>
    <w:pPr>
      <w:spacing w:before="240" w:after="60" w:line="240" w:lineRule="auto"/>
      <w:jc w:val="left"/>
      <w:outlineLvl w:val="7"/>
    </w:pPr>
    <w:rPr>
      <w:rFonts w:ascii="Times New Roman" w:eastAsia="Times New Roman" w:hAnsi="Times New Roman" w:cs="Times New Roman"/>
      <w:i/>
      <w:i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DC1507"/>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rsid w:val="00DC1507"/>
    <w:rPr>
      <w:rFonts w:ascii="Arial" w:eastAsia="Times New Roman" w:hAnsi="Arial" w:cs="Arial"/>
      <w:b/>
      <w:bCs/>
      <w:sz w:val="26"/>
      <w:szCs w:val="26"/>
      <w:lang w:eastAsia="it-IT"/>
    </w:rPr>
  </w:style>
  <w:style w:type="character" w:customStyle="1" w:styleId="Titolo4Carattere">
    <w:name w:val="Titolo 4 Carattere"/>
    <w:basedOn w:val="Carpredefinitoparagrafo"/>
    <w:link w:val="Titolo4"/>
    <w:rsid w:val="00DC1507"/>
    <w:rPr>
      <w:rFonts w:ascii="Times New Roman" w:eastAsia="Times New Roman" w:hAnsi="Times New Roman" w:cs="Times New Roman"/>
      <w:b/>
      <w:bCs/>
      <w:sz w:val="28"/>
      <w:szCs w:val="28"/>
      <w:lang w:eastAsia="it-IT"/>
    </w:rPr>
  </w:style>
  <w:style w:type="character" w:customStyle="1" w:styleId="Titolo8Carattere">
    <w:name w:val="Titolo 8 Carattere"/>
    <w:basedOn w:val="Carpredefinitoparagrafo"/>
    <w:link w:val="Titolo8"/>
    <w:rsid w:val="00DC1507"/>
    <w:rPr>
      <w:rFonts w:ascii="Times New Roman" w:eastAsia="Times New Roman" w:hAnsi="Times New Roman" w:cs="Times New Roman"/>
      <w:i/>
      <w:iCs/>
      <w:sz w:val="24"/>
      <w:szCs w:val="24"/>
      <w:lang w:eastAsia="it-IT"/>
    </w:rPr>
  </w:style>
  <w:style w:type="paragraph" w:styleId="NormaleWeb">
    <w:name w:val="Normal (Web)"/>
    <w:basedOn w:val="Normale"/>
    <w:rsid w:val="00DC1507"/>
    <w:pPr>
      <w:spacing w:before="100" w:beforeAutospacing="1" w:after="100" w:afterAutospacing="1" w:line="195" w:lineRule="atLeast"/>
      <w:jc w:val="left"/>
    </w:pPr>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semiHidden/>
    <w:rsid w:val="00DC1507"/>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DC15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semiHidden/>
    <w:rsid w:val="00DC1507"/>
    <w:rPr>
      <w:vertAlign w:val="superscript"/>
    </w:rPr>
  </w:style>
  <w:style w:type="paragraph" w:styleId="Pidipagina">
    <w:name w:val="footer"/>
    <w:basedOn w:val="Normale"/>
    <w:link w:val="PidipaginaCarattere"/>
    <w:rsid w:val="00DC1507"/>
    <w:pPr>
      <w:tabs>
        <w:tab w:val="center" w:pos="4819"/>
        <w:tab w:val="right" w:pos="9638"/>
      </w:tabs>
      <w:spacing w:line="240" w:lineRule="auto"/>
      <w:jc w:val="left"/>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rsid w:val="00DC1507"/>
    <w:rPr>
      <w:rFonts w:ascii="Times New Roman" w:eastAsia="Times New Roman" w:hAnsi="Times New Roman" w:cs="Times New Roman"/>
      <w:sz w:val="24"/>
      <w:szCs w:val="24"/>
      <w:lang w:eastAsia="it-IT"/>
    </w:rPr>
  </w:style>
  <w:style w:type="character" w:styleId="Numeropagina">
    <w:name w:val="page number"/>
    <w:basedOn w:val="Carpredefinitoparagrafo"/>
    <w:rsid w:val="00DC1507"/>
  </w:style>
  <w:style w:type="character" w:styleId="Collegamentoipertestuale">
    <w:name w:val="Hyperlink"/>
    <w:basedOn w:val="Carpredefinitoparagrafo"/>
    <w:rsid w:val="00DC1507"/>
    <w:rPr>
      <w:color w:val="0000FF"/>
      <w:u w:val="single"/>
    </w:rPr>
  </w:style>
  <w:style w:type="character" w:customStyle="1" w:styleId="mw-headline">
    <w:name w:val="mw-headline"/>
    <w:basedOn w:val="Carpredefinitoparagrafo"/>
    <w:rsid w:val="00DC1507"/>
  </w:style>
  <w:style w:type="character" w:customStyle="1" w:styleId="editsection">
    <w:name w:val="editsection"/>
    <w:basedOn w:val="Carpredefinitoparagrafo"/>
    <w:rsid w:val="00DC1507"/>
  </w:style>
  <w:style w:type="character" w:styleId="CitazioneHTML">
    <w:name w:val="HTML Cite"/>
    <w:basedOn w:val="Carpredefinitoparagrafo"/>
    <w:rsid w:val="00DC1507"/>
    <w:rPr>
      <w:i/>
      <w:iCs/>
    </w:rPr>
  </w:style>
  <w:style w:type="character" w:styleId="Collegamentovisitato">
    <w:name w:val="FollowedHyperlink"/>
    <w:basedOn w:val="Carpredefinitoparagrafo"/>
    <w:rsid w:val="00DC1507"/>
    <w:rPr>
      <w:color w:val="800080"/>
      <w:u w:val="single"/>
    </w:rPr>
  </w:style>
  <w:style w:type="character" w:customStyle="1" w:styleId="didascalia2">
    <w:name w:val="didascalia2"/>
    <w:basedOn w:val="Carpredefinitoparagrafo"/>
    <w:rsid w:val="00DC1507"/>
    <w:rPr>
      <w:rFonts w:ascii="Arial" w:hAnsi="Arial" w:cs="Arial" w:hint="default"/>
      <w:b w:val="0"/>
      <w:bCs w:val="0"/>
      <w:vanish w:val="0"/>
      <w:webHidden w:val="0"/>
      <w:color w:val="33546F"/>
      <w:sz w:val="26"/>
      <w:szCs w:val="26"/>
      <w:specVanish w:val="0"/>
    </w:rPr>
  </w:style>
  <w:style w:type="character" w:styleId="Enfasicorsivo">
    <w:name w:val="Emphasis"/>
    <w:basedOn w:val="Carpredefinitoparagrafo"/>
    <w:qFormat/>
    <w:rsid w:val="00DC1507"/>
    <w:rPr>
      <w:i/>
      <w:iCs/>
    </w:rPr>
  </w:style>
  <w:style w:type="character" w:customStyle="1" w:styleId="sc">
    <w:name w:val="sc"/>
    <w:basedOn w:val="Carpredefinitoparagrafo"/>
    <w:rsid w:val="00DC1507"/>
  </w:style>
  <w:style w:type="paragraph" w:styleId="Testofumetto">
    <w:name w:val="Balloon Text"/>
    <w:basedOn w:val="Normale"/>
    <w:link w:val="TestofumettoCarattere"/>
    <w:semiHidden/>
    <w:rsid w:val="00DC1507"/>
    <w:pPr>
      <w:spacing w:line="240" w:lineRule="auto"/>
      <w:jc w:val="left"/>
    </w:pPr>
    <w:rPr>
      <w:rFonts w:ascii="Tahoma" w:eastAsia="Times New Roman" w:hAnsi="Tahoma" w:cs="Tahoma"/>
      <w:sz w:val="16"/>
      <w:szCs w:val="16"/>
      <w:lang w:eastAsia="it-IT"/>
    </w:rPr>
  </w:style>
  <w:style w:type="character" w:customStyle="1" w:styleId="TestofumettoCarattere">
    <w:name w:val="Testo fumetto Carattere"/>
    <w:basedOn w:val="Carpredefinitoparagrafo"/>
    <w:link w:val="Testofumetto"/>
    <w:semiHidden/>
    <w:rsid w:val="00DC1507"/>
    <w:rPr>
      <w:rFonts w:ascii="Tahoma" w:eastAsia="Times New Roman" w:hAnsi="Tahoma" w:cs="Tahoma"/>
      <w:sz w:val="16"/>
      <w:szCs w:val="16"/>
      <w:lang w:eastAsia="it-IT"/>
    </w:rPr>
  </w:style>
  <w:style w:type="character" w:customStyle="1" w:styleId="corsivo">
    <w:name w:val="corsivo"/>
    <w:basedOn w:val="Carpredefinitoparagrafo"/>
    <w:rsid w:val="00DC1507"/>
  </w:style>
  <w:style w:type="table" w:styleId="Grigliatabella">
    <w:name w:val="Table Grid"/>
    <w:basedOn w:val="Tabellanormale"/>
    <w:rsid w:val="00DC1507"/>
    <w:pPr>
      <w:spacing w:line="240" w:lineRule="auto"/>
      <w:jc w:val="left"/>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econtalledesctext">
    <w:name w:val="page_cont_alle_desc_text"/>
    <w:basedOn w:val="Normale"/>
    <w:rsid w:val="00DC1507"/>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paragraph" w:customStyle="1" w:styleId="imalignleft">
    <w:name w:val="imalign_left"/>
    <w:basedOn w:val="Normale"/>
    <w:rsid w:val="00DC1507"/>
    <w:pPr>
      <w:spacing w:line="240" w:lineRule="auto"/>
      <w:jc w:val="left"/>
    </w:pPr>
    <w:rPr>
      <w:rFonts w:ascii="Times New Roman" w:eastAsia="Times New Roman" w:hAnsi="Times New Roman" w:cs="Times New Roman"/>
      <w:sz w:val="24"/>
      <w:szCs w:val="24"/>
      <w:lang w:eastAsia="it-IT"/>
    </w:rPr>
  </w:style>
  <w:style w:type="character" w:customStyle="1" w:styleId="ff4fc3fs10">
    <w:name w:val="ff4 fc3 fs10"/>
    <w:basedOn w:val="Carpredefinitoparagrafo"/>
    <w:rsid w:val="00DC1507"/>
  </w:style>
  <w:style w:type="character" w:customStyle="1" w:styleId="ff2fc0fs10">
    <w:name w:val="ff2 fc0 fs10"/>
    <w:basedOn w:val="Carpredefinitoparagrafo"/>
    <w:rsid w:val="00DC1507"/>
  </w:style>
  <w:style w:type="character" w:styleId="Enfasigrassetto">
    <w:name w:val="Strong"/>
    <w:basedOn w:val="Carpredefinitoparagrafo"/>
    <w:qFormat/>
    <w:rsid w:val="00DC1507"/>
    <w:rPr>
      <w:b/>
      <w:bCs/>
    </w:rPr>
  </w:style>
  <w:style w:type="character" w:customStyle="1" w:styleId="body11">
    <w:name w:val="body11"/>
    <w:basedOn w:val="Carpredefinitoparagrafo"/>
    <w:rsid w:val="00DC1507"/>
  </w:style>
  <w:style w:type="paragraph" w:customStyle="1" w:styleId="Default">
    <w:name w:val="Default"/>
    <w:rsid w:val="00DC1507"/>
    <w:pPr>
      <w:autoSpaceDE w:val="0"/>
      <w:autoSpaceDN w:val="0"/>
      <w:adjustRightInd w:val="0"/>
      <w:spacing w:line="240" w:lineRule="auto"/>
      <w:jc w:val="left"/>
    </w:pPr>
    <w:rPr>
      <w:rFonts w:ascii="Arial" w:eastAsia="Times New Roman" w:hAnsi="Arial" w:cs="Arial"/>
      <w:color w:val="000000"/>
      <w:sz w:val="24"/>
      <w:szCs w:val="24"/>
      <w:lang w:eastAsia="it-IT"/>
    </w:rPr>
  </w:style>
  <w:style w:type="paragraph" w:styleId="Corpotesto">
    <w:name w:val="Body Text"/>
    <w:basedOn w:val="Normale"/>
    <w:link w:val="CorpotestoCarattere"/>
    <w:rsid w:val="00DC1507"/>
    <w:pPr>
      <w:spacing w:after="120" w:line="240" w:lineRule="auto"/>
      <w:ind w:left="57"/>
      <w:jc w:val="left"/>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DC1507"/>
    <w:rPr>
      <w:rFonts w:ascii="Times New Roman" w:eastAsia="Times New Roman" w:hAnsi="Times New Roman" w:cs="Times New Roman"/>
      <w:sz w:val="24"/>
      <w:szCs w:val="24"/>
      <w:lang w:eastAsia="it-IT"/>
    </w:rPr>
  </w:style>
  <w:style w:type="paragraph" w:styleId="Corpodeltesto3">
    <w:name w:val="Body Text 3"/>
    <w:basedOn w:val="Normale"/>
    <w:link w:val="Corpodeltesto3Carattere"/>
    <w:rsid w:val="00DC1507"/>
    <w:pPr>
      <w:spacing w:line="240" w:lineRule="auto"/>
    </w:pPr>
    <w:rPr>
      <w:rFonts w:ascii="Times New Roman" w:eastAsia="Times New Roman" w:hAnsi="Times New Roman" w:cs="Times New Roman"/>
      <w:i/>
      <w:iCs/>
      <w:sz w:val="24"/>
      <w:szCs w:val="20"/>
      <w:lang w:eastAsia="it-IT"/>
    </w:rPr>
  </w:style>
  <w:style w:type="character" w:customStyle="1" w:styleId="Corpodeltesto3Carattere">
    <w:name w:val="Corpo del testo 3 Carattere"/>
    <w:basedOn w:val="Carpredefinitoparagrafo"/>
    <w:link w:val="Corpodeltesto3"/>
    <w:rsid w:val="00DC1507"/>
    <w:rPr>
      <w:rFonts w:ascii="Times New Roman" w:eastAsia="Times New Roman" w:hAnsi="Times New Roman" w:cs="Times New Roman"/>
      <w:i/>
      <w:iCs/>
      <w:sz w:val="24"/>
      <w:szCs w:val="20"/>
      <w:lang w:eastAsia="it-IT"/>
    </w:rPr>
  </w:style>
  <w:style w:type="paragraph" w:styleId="Rientrocorpodeltesto2">
    <w:name w:val="Body Text Indent 2"/>
    <w:basedOn w:val="Normale"/>
    <w:link w:val="Rientrocorpodeltesto2Carattere"/>
    <w:rsid w:val="00DC1507"/>
    <w:pPr>
      <w:spacing w:line="240" w:lineRule="auto"/>
      <w:ind w:left="540"/>
      <w:jc w:val="left"/>
    </w:pPr>
    <w:rPr>
      <w:rFonts w:ascii="Times New Roman" w:eastAsia="Times New Roman" w:hAnsi="Times New Roman" w:cs="Times New Roman"/>
      <w:sz w:val="28"/>
      <w:szCs w:val="24"/>
      <w:lang w:eastAsia="it-IT"/>
    </w:rPr>
  </w:style>
  <w:style w:type="character" w:customStyle="1" w:styleId="Rientrocorpodeltesto2Carattere">
    <w:name w:val="Rientro corpo del testo 2 Carattere"/>
    <w:basedOn w:val="Carpredefinitoparagrafo"/>
    <w:link w:val="Rientrocorpodeltesto2"/>
    <w:rsid w:val="00DC1507"/>
    <w:rPr>
      <w:rFonts w:ascii="Times New Roman" w:eastAsia="Times New Roman" w:hAnsi="Times New Roman" w:cs="Times New Roman"/>
      <w:sz w:val="28"/>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wiktionary.org/wiki/%CE%B3%CE%AD%CE%BD%CE%B5%CF%83%CE%B9%CF%82" TargetMode="External"/><Relationship Id="rId13" Type="http://schemas.openxmlformats.org/officeDocument/2006/relationships/hyperlink" Target="http://it.wikipedia.org/wiki/Genom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t.wikipedia.org/wiki/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t.wikipedia.org/wiki/Celera_Genom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t.wikipedia.org/wiki/Progetto_genoma_umano" TargetMode="External"/><Relationship Id="rId4" Type="http://schemas.openxmlformats.org/officeDocument/2006/relationships/settings" Target="settings.xml"/><Relationship Id="rId9" Type="http://schemas.openxmlformats.org/officeDocument/2006/relationships/hyperlink" Target="http://it.wikipedia.org/wiki/Gene"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760</Words>
  <Characters>4333</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4</cp:revision>
  <dcterms:created xsi:type="dcterms:W3CDTF">2014-03-16T10:17:00Z</dcterms:created>
  <dcterms:modified xsi:type="dcterms:W3CDTF">2014-03-24T06:56:00Z</dcterms:modified>
</cp:coreProperties>
</file>