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59B3" w:rsidRDefault="000959B3" w:rsidP="00B05A9F">
      <w:pPr>
        <w:rPr>
          <w:rFonts w:ascii="Arial" w:hAnsi="Arial" w:cs="Arial"/>
          <w:b/>
          <w:sz w:val="28"/>
          <w:szCs w:val="28"/>
        </w:rPr>
      </w:pPr>
      <w:r>
        <w:rPr>
          <w:rFonts w:ascii="Arial" w:hAnsi="Arial" w:cs="Arial"/>
          <w:b/>
          <w:sz w:val="28"/>
          <w:szCs w:val="28"/>
        </w:rPr>
        <w:t>L’EMBRIONE</w:t>
      </w:r>
    </w:p>
    <w:p w:rsidR="000959B3" w:rsidRDefault="000959B3" w:rsidP="00B05A9F">
      <w:pPr>
        <w:rPr>
          <w:rFonts w:ascii="Arial" w:hAnsi="Arial" w:cs="Arial"/>
          <w:b/>
          <w:sz w:val="28"/>
          <w:szCs w:val="28"/>
        </w:rPr>
      </w:pPr>
    </w:p>
    <w:p w:rsidR="00B05A9F" w:rsidRPr="000959B3" w:rsidRDefault="00B05A9F" w:rsidP="00B05A9F">
      <w:pPr>
        <w:rPr>
          <w:rFonts w:ascii="Arial" w:hAnsi="Arial" w:cs="Arial"/>
          <w:sz w:val="24"/>
          <w:szCs w:val="24"/>
        </w:rPr>
      </w:pPr>
      <w:r w:rsidRPr="000959B3">
        <w:rPr>
          <w:rFonts w:ascii="Arial" w:hAnsi="Arial" w:cs="Arial"/>
          <w:sz w:val="24"/>
          <w:szCs w:val="24"/>
        </w:rPr>
        <w:t xml:space="preserve">“Chi è l’embrione?”. </w:t>
      </w:r>
    </w:p>
    <w:p w:rsidR="00B05A9F" w:rsidRPr="000959B3" w:rsidRDefault="00B05A9F" w:rsidP="000959B3">
      <w:pPr>
        <w:ind w:firstLine="708"/>
        <w:rPr>
          <w:rFonts w:ascii="Arial" w:hAnsi="Arial" w:cs="Arial"/>
          <w:sz w:val="24"/>
          <w:szCs w:val="24"/>
        </w:rPr>
      </w:pPr>
      <w:r w:rsidRPr="000959B3">
        <w:rPr>
          <w:rFonts w:ascii="Arial" w:hAnsi="Arial" w:cs="Arial"/>
          <w:sz w:val="24"/>
          <w:szCs w:val="24"/>
        </w:rPr>
        <w:t xml:space="preserve">Da quanto affermato </w:t>
      </w:r>
      <w:r w:rsidR="000959B3">
        <w:rPr>
          <w:rFonts w:ascii="Arial" w:hAnsi="Arial" w:cs="Arial"/>
          <w:sz w:val="24"/>
          <w:szCs w:val="24"/>
        </w:rPr>
        <w:t>riflettendo sul</w:t>
      </w:r>
      <w:r w:rsidRPr="000959B3">
        <w:rPr>
          <w:rFonts w:ascii="Arial" w:hAnsi="Arial" w:cs="Arial"/>
          <w:sz w:val="24"/>
          <w:szCs w:val="24"/>
        </w:rPr>
        <w:t>l’</w:t>
      </w:r>
      <w:r w:rsidR="000959B3">
        <w:rPr>
          <w:rFonts w:ascii="Arial" w:hAnsi="Arial" w:cs="Arial"/>
          <w:sz w:val="24"/>
          <w:szCs w:val="24"/>
        </w:rPr>
        <w:t xml:space="preserve"> “</w:t>
      </w:r>
      <w:r w:rsidRPr="000959B3">
        <w:rPr>
          <w:rFonts w:ascii="Arial" w:hAnsi="Arial" w:cs="Arial"/>
          <w:sz w:val="24"/>
          <w:szCs w:val="24"/>
        </w:rPr>
        <w:t>esordio della vita” rispond</w:t>
      </w:r>
      <w:r w:rsidR="000959B3">
        <w:rPr>
          <w:rFonts w:ascii="Arial" w:hAnsi="Arial" w:cs="Arial"/>
          <w:sz w:val="24"/>
          <w:szCs w:val="24"/>
        </w:rPr>
        <w:t xml:space="preserve">iamo </w:t>
      </w:r>
      <w:r w:rsidRPr="000959B3">
        <w:rPr>
          <w:rFonts w:ascii="Arial" w:hAnsi="Arial" w:cs="Arial"/>
          <w:sz w:val="24"/>
          <w:szCs w:val="24"/>
        </w:rPr>
        <w:t>con certezza che l’embrione rappresenta la “prima fase” dell’esistenza della persona</w:t>
      </w:r>
      <w:r w:rsidR="000959B3">
        <w:rPr>
          <w:rFonts w:ascii="Arial" w:hAnsi="Arial" w:cs="Arial"/>
          <w:sz w:val="24"/>
          <w:szCs w:val="24"/>
        </w:rPr>
        <w:t xml:space="preserve"> che</w:t>
      </w:r>
      <w:r w:rsidRPr="000959B3">
        <w:rPr>
          <w:rFonts w:ascii="Arial" w:hAnsi="Arial" w:cs="Arial"/>
          <w:sz w:val="24"/>
          <w:szCs w:val="24"/>
        </w:rPr>
        <w:t xml:space="preserve"> si svilupperà in</w:t>
      </w:r>
      <w:r w:rsidR="000959B3">
        <w:rPr>
          <w:rFonts w:ascii="Arial" w:hAnsi="Arial" w:cs="Arial"/>
          <w:sz w:val="24"/>
          <w:szCs w:val="24"/>
        </w:rPr>
        <w:t>seguito in</w:t>
      </w:r>
      <w:r w:rsidRPr="000959B3">
        <w:rPr>
          <w:rFonts w:ascii="Arial" w:hAnsi="Arial" w:cs="Arial"/>
          <w:sz w:val="24"/>
          <w:szCs w:val="24"/>
        </w:rPr>
        <w:t xml:space="preserve"> un organismo adulto. </w:t>
      </w:r>
    </w:p>
    <w:p w:rsidR="00B05A9F" w:rsidRPr="000959B3" w:rsidRDefault="00B05A9F" w:rsidP="000959B3">
      <w:pPr>
        <w:ind w:firstLine="708"/>
        <w:rPr>
          <w:rFonts w:ascii="Arial" w:hAnsi="Arial" w:cs="Arial"/>
          <w:sz w:val="24"/>
          <w:szCs w:val="24"/>
        </w:rPr>
      </w:pPr>
      <w:r w:rsidRPr="000959B3">
        <w:rPr>
          <w:rFonts w:ascii="Arial" w:hAnsi="Arial" w:cs="Arial"/>
          <w:sz w:val="24"/>
          <w:szCs w:val="24"/>
        </w:rPr>
        <w:t>L’embrione</w:t>
      </w:r>
      <w:r w:rsidR="000959B3">
        <w:rPr>
          <w:rFonts w:ascii="Arial" w:hAnsi="Arial" w:cs="Arial"/>
          <w:sz w:val="24"/>
          <w:szCs w:val="24"/>
        </w:rPr>
        <w:t xml:space="preserve">, quindi, </w:t>
      </w:r>
      <w:r w:rsidRPr="000959B3">
        <w:rPr>
          <w:rFonts w:ascii="Arial" w:hAnsi="Arial" w:cs="Arial"/>
          <w:sz w:val="24"/>
          <w:szCs w:val="24"/>
        </w:rPr>
        <w:t xml:space="preserve">è un essere umano da rispettare “come una persona”; di conseguenza è immorale, sacrificarlo o nei processi di fecondazione medicalmente assistita oppure nel settore sperimentale. </w:t>
      </w:r>
    </w:p>
    <w:p w:rsidR="00B05A9F" w:rsidRPr="000959B3" w:rsidRDefault="00B05A9F" w:rsidP="000959B3">
      <w:pPr>
        <w:ind w:firstLine="708"/>
        <w:rPr>
          <w:rFonts w:ascii="Arial" w:hAnsi="Arial" w:cs="Arial"/>
          <w:sz w:val="24"/>
          <w:szCs w:val="24"/>
        </w:rPr>
      </w:pPr>
      <w:r w:rsidRPr="000959B3">
        <w:rPr>
          <w:rFonts w:ascii="Arial" w:hAnsi="Arial" w:cs="Arial"/>
          <w:sz w:val="24"/>
          <w:szCs w:val="24"/>
        </w:rPr>
        <w:t>Il “concetto di embrione” è stato approfondito più volte dal Magistero della Chiesa Cattolic</w:t>
      </w:r>
      <w:r w:rsidR="00D31E38">
        <w:rPr>
          <w:rFonts w:ascii="Arial" w:hAnsi="Arial" w:cs="Arial"/>
          <w:sz w:val="24"/>
          <w:szCs w:val="24"/>
        </w:rPr>
        <w:t>a</w:t>
      </w:r>
      <w:r w:rsidR="00D31E38">
        <w:rPr>
          <w:rStyle w:val="Rimandonotaapidipagina"/>
          <w:rFonts w:ascii="Arial" w:hAnsi="Arial" w:cs="Arial"/>
          <w:sz w:val="24"/>
          <w:szCs w:val="24"/>
        </w:rPr>
        <w:footnoteReference w:id="1"/>
      </w:r>
      <w:r w:rsidRPr="000959B3">
        <w:rPr>
          <w:rFonts w:ascii="Arial" w:hAnsi="Arial" w:cs="Arial"/>
          <w:sz w:val="24"/>
          <w:szCs w:val="24"/>
        </w:rPr>
        <w:t xml:space="preserve"> a partire dal Concilio Vaticano II fino al Catechismo della</w:t>
      </w:r>
      <w:r w:rsidRPr="000959B3">
        <w:rPr>
          <w:rFonts w:ascii="Arial" w:hAnsi="Arial" w:cs="Arial"/>
          <w:i/>
          <w:sz w:val="24"/>
          <w:szCs w:val="24"/>
        </w:rPr>
        <w:t xml:space="preserve"> </w:t>
      </w:r>
      <w:r w:rsidRPr="000959B3">
        <w:rPr>
          <w:rFonts w:ascii="Arial" w:hAnsi="Arial" w:cs="Arial"/>
          <w:sz w:val="24"/>
          <w:szCs w:val="24"/>
        </w:rPr>
        <w:t>Chiesa Cattolica: “la vita umana deve essere rispettata e protetta in modo assoluto fin dal momento del concepimento. Dal primo istante della sua esistenza l’essere umano deve vedersi riconosciuti i diritti della persona, tra i quali il diritto inviolabile alla vita</w:t>
      </w:r>
      <w:r w:rsidRPr="000959B3">
        <w:rPr>
          <w:rFonts w:ascii="Arial" w:hAnsi="Arial" w:cs="Arial"/>
          <w:i/>
          <w:sz w:val="24"/>
          <w:szCs w:val="24"/>
        </w:rPr>
        <w:t>”</w:t>
      </w:r>
      <w:r w:rsidRPr="000959B3">
        <w:rPr>
          <w:rFonts w:ascii="Arial" w:hAnsi="Arial" w:cs="Arial"/>
          <w:sz w:val="24"/>
          <w:szCs w:val="24"/>
          <w:vertAlign w:val="superscript"/>
        </w:rPr>
        <w:footnoteReference w:id="2"/>
      </w:r>
      <w:r w:rsidRPr="000959B3">
        <w:rPr>
          <w:rFonts w:ascii="Arial" w:hAnsi="Arial" w:cs="Arial"/>
          <w:sz w:val="24"/>
          <w:szCs w:val="24"/>
        </w:rPr>
        <w:t xml:space="preserve">. </w:t>
      </w:r>
    </w:p>
    <w:p w:rsidR="00B607D7" w:rsidRPr="000959B3" w:rsidRDefault="00B05A9F" w:rsidP="00B05A9F">
      <w:pPr>
        <w:rPr>
          <w:rFonts w:ascii="Arial" w:hAnsi="Arial" w:cs="Arial"/>
          <w:sz w:val="24"/>
          <w:szCs w:val="24"/>
        </w:rPr>
      </w:pPr>
      <w:r w:rsidRPr="000959B3">
        <w:rPr>
          <w:rFonts w:ascii="Arial" w:hAnsi="Arial" w:cs="Arial"/>
          <w:sz w:val="24"/>
          <w:szCs w:val="24"/>
        </w:rPr>
        <w:t xml:space="preserve">Tra i vari testi sull’argomento è alquanto </w:t>
      </w:r>
      <w:r w:rsidR="00D31E38">
        <w:rPr>
          <w:rFonts w:ascii="Arial" w:hAnsi="Arial" w:cs="Arial"/>
          <w:sz w:val="24"/>
          <w:szCs w:val="24"/>
        </w:rPr>
        <w:t>significativo</w:t>
      </w:r>
      <w:r w:rsidRPr="000959B3">
        <w:rPr>
          <w:rFonts w:ascii="Arial" w:hAnsi="Arial" w:cs="Arial"/>
          <w:sz w:val="24"/>
          <w:szCs w:val="24"/>
        </w:rPr>
        <w:t xml:space="preserve"> questo intervento di Benedetto XVI: “Anche in mancanza di espliciti insegnamenti sui primissimi giorni di vita del nascituro, è possibile trovare nella Sacra Scrittura preziose indicazioni che motivano sentimenti d’ammirazione e di riguardo nei confronti dell’uomo appena concepito. I libri sacri, infatti, intendono mostrare l’amore di Dio verso ciascun essere umano ancor prima del suo prender forma nel seno della madre. ‘Prima di formarti nel grembo materno, ti conoscevo, prima che tu venissi alla luce, ti avevo consacrato’(Ger.1,5), dice Dio al profeta Geremia. E il Salmista riconosce con gratitudine: ‘Sei tu che hai creato le mie viscere e mi hai tessuto nel seno di mia madre. Ti lodo perché mi hai fatto come un prodigio; sono stupende le tue opere, tu mi conosci fino in fondo’ (Sal. 139,13-14). Sono parole, queste, che acquistano tutta la loro ricchezza di significato quando si pensa che Dio interviene direttamente nella creazione dell’anima di ogni nuovo essere umano</w:t>
      </w:r>
      <w:r w:rsidRPr="000959B3">
        <w:rPr>
          <w:rFonts w:ascii="Arial" w:hAnsi="Arial" w:cs="Arial"/>
          <w:i/>
          <w:sz w:val="24"/>
          <w:szCs w:val="24"/>
        </w:rPr>
        <w:t>”</w:t>
      </w:r>
      <w:r w:rsidRPr="000959B3">
        <w:rPr>
          <w:rFonts w:ascii="Arial" w:hAnsi="Arial" w:cs="Arial"/>
          <w:i/>
          <w:sz w:val="24"/>
          <w:szCs w:val="24"/>
          <w:vertAlign w:val="superscript"/>
        </w:rPr>
        <w:footnoteReference w:id="3"/>
      </w:r>
      <w:r w:rsidRPr="000959B3">
        <w:rPr>
          <w:rFonts w:ascii="Arial" w:hAnsi="Arial" w:cs="Arial"/>
          <w:i/>
          <w:sz w:val="24"/>
          <w:szCs w:val="24"/>
        </w:rPr>
        <w:t xml:space="preserve">.    </w:t>
      </w:r>
      <w:r w:rsidRPr="000959B3">
        <w:rPr>
          <w:rFonts w:ascii="Arial" w:hAnsi="Arial" w:cs="Arial"/>
          <w:sz w:val="24"/>
          <w:szCs w:val="24"/>
        </w:rPr>
        <w:t xml:space="preserve">  </w:t>
      </w:r>
    </w:p>
    <w:p w:rsidR="00B05A9F" w:rsidRPr="00D31E38" w:rsidRDefault="00B05A9F" w:rsidP="00D31E38">
      <w:pPr>
        <w:ind w:firstLine="708"/>
        <w:rPr>
          <w:rFonts w:ascii="Arial" w:hAnsi="Arial" w:cs="Arial"/>
          <w:sz w:val="24"/>
          <w:szCs w:val="24"/>
        </w:rPr>
      </w:pPr>
      <w:r w:rsidRPr="000959B3">
        <w:rPr>
          <w:rFonts w:ascii="Arial" w:hAnsi="Arial" w:cs="Arial"/>
          <w:sz w:val="24"/>
          <w:szCs w:val="24"/>
        </w:rPr>
        <w:t xml:space="preserve">Oltre gli scritti del Magistero, molteplici documenti internazionali, dell’Unione Europea e nazionali sostengono questa tesi. Inoltre, il 18 ottobre 2011, </w:t>
      </w:r>
      <w:r w:rsidRPr="00D31E38">
        <w:rPr>
          <w:rFonts w:ascii="Arial" w:hAnsi="Arial" w:cs="Arial"/>
          <w:sz w:val="24"/>
          <w:szCs w:val="24"/>
        </w:rPr>
        <w:t xml:space="preserve">la </w:t>
      </w:r>
      <w:r w:rsidR="00D31E38">
        <w:rPr>
          <w:rFonts w:ascii="Arial" w:hAnsi="Arial" w:cs="Arial"/>
          <w:sz w:val="24"/>
          <w:szCs w:val="24"/>
        </w:rPr>
        <w:t>“</w:t>
      </w:r>
      <w:r w:rsidRPr="00D31E38">
        <w:rPr>
          <w:rFonts w:ascii="Arial" w:hAnsi="Arial" w:cs="Arial"/>
          <w:sz w:val="24"/>
          <w:szCs w:val="24"/>
        </w:rPr>
        <w:t>Corte di Giustizia dell’Unione Europea</w:t>
      </w:r>
      <w:r w:rsidR="00D31E38">
        <w:rPr>
          <w:rFonts w:ascii="Arial" w:hAnsi="Arial" w:cs="Arial"/>
          <w:sz w:val="24"/>
          <w:szCs w:val="24"/>
        </w:rPr>
        <w:t>”</w:t>
      </w:r>
      <w:r w:rsidRPr="00D31E38">
        <w:rPr>
          <w:rFonts w:ascii="Arial" w:hAnsi="Arial" w:cs="Arial"/>
          <w:sz w:val="24"/>
          <w:szCs w:val="24"/>
        </w:rPr>
        <w:t xml:space="preserve">, chiamata </w:t>
      </w:r>
      <w:r w:rsidR="00D31E38" w:rsidRPr="00D31E38">
        <w:rPr>
          <w:rFonts w:ascii="Arial" w:hAnsi="Arial" w:cs="Arial"/>
          <w:sz w:val="24"/>
          <w:szCs w:val="24"/>
        </w:rPr>
        <w:t>a</w:t>
      </w:r>
      <w:r w:rsidRPr="00D31E38">
        <w:rPr>
          <w:rFonts w:ascii="Arial" w:hAnsi="Arial" w:cs="Arial"/>
          <w:sz w:val="24"/>
          <w:szCs w:val="24"/>
        </w:rPr>
        <w:t xml:space="preserve"> esprimersi sulla brevettabilità dei procedimenti che si avvalgono delle cellule staminali estratte da embrioni umani, nella sentenza, oltre che proibirne l’uso, </w:t>
      </w:r>
      <w:r w:rsidR="00D31E38" w:rsidRPr="00D31E38">
        <w:rPr>
          <w:rFonts w:ascii="Arial" w:hAnsi="Arial" w:cs="Arial"/>
          <w:sz w:val="24"/>
          <w:szCs w:val="24"/>
        </w:rPr>
        <w:t>rilevò</w:t>
      </w:r>
      <w:r w:rsidRPr="00D31E38">
        <w:rPr>
          <w:rFonts w:ascii="Arial" w:hAnsi="Arial" w:cs="Arial"/>
          <w:sz w:val="24"/>
          <w:szCs w:val="24"/>
        </w:rPr>
        <w:t xml:space="preserve"> che la “nozione di embrione umano deve essere intesa in senso ampio”</w:t>
      </w:r>
      <w:r w:rsidRPr="00D31E38">
        <w:rPr>
          <w:rStyle w:val="Rimandonotaapidipagina"/>
          <w:rFonts w:ascii="Arial" w:hAnsi="Arial" w:cs="Arial"/>
          <w:sz w:val="24"/>
          <w:szCs w:val="24"/>
        </w:rPr>
        <w:footnoteReference w:id="4"/>
      </w:r>
      <w:r w:rsidRPr="00D31E38">
        <w:rPr>
          <w:rFonts w:ascii="Arial" w:hAnsi="Arial" w:cs="Arial"/>
          <w:sz w:val="24"/>
          <w:szCs w:val="24"/>
        </w:rPr>
        <w:t>.</w:t>
      </w:r>
    </w:p>
    <w:p w:rsidR="000959B3" w:rsidRPr="000959B3" w:rsidRDefault="000959B3" w:rsidP="00D31E38">
      <w:pPr>
        <w:ind w:firstLine="708"/>
        <w:rPr>
          <w:rFonts w:ascii="Arial" w:hAnsi="Arial" w:cs="Arial"/>
          <w:sz w:val="24"/>
          <w:szCs w:val="24"/>
        </w:rPr>
      </w:pPr>
      <w:r w:rsidRPr="000959B3">
        <w:rPr>
          <w:rFonts w:ascii="Arial" w:hAnsi="Arial" w:cs="Arial"/>
          <w:sz w:val="24"/>
          <w:szCs w:val="24"/>
        </w:rPr>
        <w:lastRenderedPageBreak/>
        <w:t xml:space="preserve">Negli ultimi decenni, l’embrione sta smarrendo celermente la sua dignità, essendo ritenuto da alcuni un essere umano, ma unicamente </w:t>
      </w:r>
      <w:r w:rsidR="00D31E38" w:rsidRPr="00D31E38">
        <w:rPr>
          <w:rFonts w:ascii="Arial" w:hAnsi="Arial" w:cs="Arial"/>
          <w:sz w:val="24"/>
          <w:szCs w:val="24"/>
        </w:rPr>
        <w:t>“</w:t>
      </w:r>
      <w:r w:rsidRPr="00D31E38">
        <w:rPr>
          <w:rFonts w:ascii="Arial" w:hAnsi="Arial" w:cs="Arial"/>
          <w:sz w:val="24"/>
          <w:szCs w:val="24"/>
        </w:rPr>
        <w:t>in potenza</w:t>
      </w:r>
      <w:r w:rsidR="00D31E38" w:rsidRPr="00D31E38">
        <w:rPr>
          <w:rFonts w:ascii="Arial" w:hAnsi="Arial" w:cs="Arial"/>
          <w:sz w:val="24"/>
          <w:szCs w:val="24"/>
        </w:rPr>
        <w:t>”</w:t>
      </w:r>
      <w:r w:rsidRPr="00D31E38">
        <w:rPr>
          <w:rFonts w:ascii="Arial" w:hAnsi="Arial" w:cs="Arial"/>
          <w:sz w:val="24"/>
          <w:szCs w:val="24"/>
        </w:rPr>
        <w:t>,</w:t>
      </w:r>
      <w:r w:rsidRPr="000959B3">
        <w:rPr>
          <w:rFonts w:ascii="Arial" w:hAnsi="Arial" w:cs="Arial"/>
          <w:sz w:val="24"/>
          <w:szCs w:val="24"/>
        </w:rPr>
        <w:t xml:space="preserve"> che acquisirà i diritti della persona in un determinato momento del suo sviluppo, da stabilirsi per convenzione. </w:t>
      </w:r>
    </w:p>
    <w:p w:rsidR="000959B3" w:rsidRPr="000959B3" w:rsidRDefault="000959B3" w:rsidP="000959B3">
      <w:pPr>
        <w:rPr>
          <w:rFonts w:ascii="Arial" w:hAnsi="Arial" w:cs="Arial"/>
          <w:sz w:val="24"/>
          <w:szCs w:val="24"/>
        </w:rPr>
      </w:pPr>
      <w:r w:rsidRPr="000959B3">
        <w:rPr>
          <w:rFonts w:ascii="Arial" w:hAnsi="Arial" w:cs="Arial"/>
          <w:sz w:val="24"/>
          <w:szCs w:val="24"/>
        </w:rPr>
        <w:t xml:space="preserve">Contribuiscono a questo declassamento le pratiche abortiste favorite dall’ “anti-life mentalità” e alcune tecniche medico-scientifiche: dalla fecondazione medicalmente assistita alle ricerche sulle cellule staminali embrionali. Altri pericoli giungono dagli studi sul ciclo cellulare e sul loro metabolismo e dalla diagnosi pre-impianto. </w:t>
      </w:r>
    </w:p>
    <w:p w:rsidR="000959B3" w:rsidRPr="000959B3" w:rsidRDefault="000959B3" w:rsidP="00D31E38">
      <w:pPr>
        <w:ind w:firstLine="708"/>
        <w:rPr>
          <w:rFonts w:ascii="Arial" w:hAnsi="Arial" w:cs="Arial"/>
          <w:sz w:val="24"/>
          <w:szCs w:val="24"/>
        </w:rPr>
      </w:pPr>
      <w:r w:rsidRPr="000959B3">
        <w:rPr>
          <w:rFonts w:ascii="Arial" w:hAnsi="Arial" w:cs="Arial"/>
          <w:sz w:val="24"/>
          <w:szCs w:val="24"/>
        </w:rPr>
        <w:t>Il nostro auspicio è che i diritti definiti “di prima generazione”, approvati nel 1950 dalla “Convenzione europea di salvaguardia dei diritti dell’uomo e delle libertà fondamentali”, siano estesi, in tutti i Paesi, anche all’embrione</w:t>
      </w:r>
      <w:r w:rsidR="00D31E38">
        <w:rPr>
          <w:rFonts w:ascii="Arial" w:hAnsi="Arial" w:cs="Arial"/>
          <w:sz w:val="24"/>
          <w:szCs w:val="24"/>
        </w:rPr>
        <w:t>.</w:t>
      </w:r>
      <w:bookmarkStart w:id="0" w:name="_GoBack"/>
      <w:bookmarkEnd w:id="0"/>
      <w:r w:rsidRPr="000959B3">
        <w:rPr>
          <w:rFonts w:ascii="Arial" w:hAnsi="Arial" w:cs="Arial"/>
          <w:sz w:val="24"/>
          <w:szCs w:val="24"/>
        </w:rPr>
        <w:t xml:space="preserve"> </w:t>
      </w:r>
    </w:p>
    <w:p w:rsidR="00B05A9F" w:rsidRPr="000959B3" w:rsidRDefault="00B05A9F" w:rsidP="00B05A9F">
      <w:pPr>
        <w:rPr>
          <w:rFonts w:ascii="Arial" w:hAnsi="Arial" w:cs="Arial"/>
          <w:sz w:val="24"/>
          <w:szCs w:val="24"/>
        </w:rPr>
      </w:pPr>
    </w:p>
    <w:sectPr w:rsidR="00B05A9F" w:rsidRPr="000959B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5A9F" w:rsidRDefault="00B05A9F" w:rsidP="00B05A9F">
      <w:pPr>
        <w:spacing w:line="240" w:lineRule="auto"/>
      </w:pPr>
      <w:r>
        <w:separator/>
      </w:r>
    </w:p>
  </w:endnote>
  <w:endnote w:type="continuationSeparator" w:id="0">
    <w:p w:rsidR="00B05A9F" w:rsidRDefault="00B05A9F" w:rsidP="00B05A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5A9F" w:rsidRDefault="00B05A9F" w:rsidP="00B05A9F">
      <w:pPr>
        <w:spacing w:line="240" w:lineRule="auto"/>
      </w:pPr>
      <w:r>
        <w:separator/>
      </w:r>
    </w:p>
  </w:footnote>
  <w:footnote w:type="continuationSeparator" w:id="0">
    <w:p w:rsidR="00B05A9F" w:rsidRDefault="00B05A9F" w:rsidP="00B05A9F">
      <w:pPr>
        <w:spacing w:line="240" w:lineRule="auto"/>
      </w:pPr>
      <w:r>
        <w:continuationSeparator/>
      </w:r>
    </w:p>
  </w:footnote>
  <w:footnote w:id="1">
    <w:p w:rsidR="00D31E38" w:rsidRPr="00D31E38" w:rsidRDefault="00D31E38" w:rsidP="00D31E38">
      <w:pPr>
        <w:pStyle w:val="Testonotaapidipagina"/>
      </w:pPr>
      <w:r>
        <w:rPr>
          <w:rStyle w:val="Rimandonotaapidipagina"/>
        </w:rPr>
        <w:footnoteRef/>
      </w:r>
      <w:r>
        <w:t xml:space="preserve"> </w:t>
      </w:r>
      <w:r w:rsidRPr="00D31E38">
        <w:t>Alcuni documenti del Magistero della Chiesa</w:t>
      </w:r>
    </w:p>
    <w:p w:rsidR="00D31E38" w:rsidRPr="00D31E38" w:rsidRDefault="00D31E38" w:rsidP="00D31E38">
      <w:pPr>
        <w:pStyle w:val="Testonotaapidipagina"/>
      </w:pPr>
      <w:r w:rsidRPr="00D31E38">
        <w:t>-</w:t>
      </w:r>
      <w:r w:rsidRPr="00D31E38">
        <w:rPr>
          <w:caps/>
        </w:rPr>
        <w:t xml:space="preserve">Congregazione per </w:t>
      </w:r>
      <w:smartTag w:uri="urn:schemas-microsoft-com:office:smarttags" w:element="PersonName">
        <w:smartTagPr>
          <w:attr w:name="ProductID" w:val="LA DOTTRINA DELLA FEDE"/>
        </w:smartTagPr>
        <w:r w:rsidRPr="00D31E38">
          <w:rPr>
            <w:caps/>
          </w:rPr>
          <w:t>la Dottrina della Fede</w:t>
        </w:r>
      </w:smartTag>
      <w:r w:rsidRPr="00D31E38">
        <w:t xml:space="preserve">, </w:t>
      </w:r>
      <w:r w:rsidRPr="00D31E38">
        <w:rPr>
          <w:i/>
        </w:rPr>
        <w:t xml:space="preserve">Dichiarazione sull’aborto procurato, </w:t>
      </w:r>
      <w:r w:rsidRPr="00D31E38">
        <w:t>18 novembre 1974, n. 19.</w:t>
      </w:r>
    </w:p>
    <w:p w:rsidR="00D31E38" w:rsidRPr="00D31E38" w:rsidRDefault="00D31E38" w:rsidP="00D31E38">
      <w:pPr>
        <w:pStyle w:val="Testonotaapidipagina"/>
      </w:pPr>
      <w:r w:rsidRPr="00D31E38">
        <w:t>-</w:t>
      </w:r>
      <w:r w:rsidRPr="00D31E38">
        <w:rPr>
          <w:caps/>
        </w:rPr>
        <w:t xml:space="preserve">Congregazione per </w:t>
      </w:r>
      <w:smartTag w:uri="urn:schemas-microsoft-com:office:smarttags" w:element="PersonName">
        <w:smartTagPr>
          <w:attr w:name="ProductID" w:val="LA DOTTRINA DELLA FEDE"/>
        </w:smartTagPr>
        <w:r w:rsidRPr="00D31E38">
          <w:rPr>
            <w:caps/>
          </w:rPr>
          <w:t>la Dottrina della Fede</w:t>
        </w:r>
      </w:smartTag>
      <w:r w:rsidRPr="00D31E38">
        <w:t xml:space="preserve">, </w:t>
      </w:r>
      <w:proofErr w:type="spellStart"/>
      <w:r w:rsidRPr="00D31E38">
        <w:rPr>
          <w:i/>
        </w:rPr>
        <w:t>Donum</w:t>
      </w:r>
      <w:proofErr w:type="spellEnd"/>
      <w:r w:rsidRPr="00D31E38">
        <w:rPr>
          <w:i/>
        </w:rPr>
        <w:t xml:space="preserve"> Vitae, </w:t>
      </w:r>
      <w:r w:rsidRPr="00D31E38">
        <w:t>22 febbraio 1987, I,2-6.</w:t>
      </w:r>
    </w:p>
    <w:p w:rsidR="00D31E38" w:rsidRPr="00D31E38" w:rsidRDefault="00D31E38" w:rsidP="00D31E38">
      <w:pPr>
        <w:pStyle w:val="Testonotaapidipagina"/>
      </w:pPr>
      <w:r w:rsidRPr="00D31E38">
        <w:t>-</w:t>
      </w:r>
      <w:r>
        <w:rPr>
          <w:caps/>
        </w:rPr>
        <w:t xml:space="preserve">giovanni paolo ii, </w:t>
      </w:r>
      <w:proofErr w:type="spellStart"/>
      <w:r w:rsidRPr="00D31E38">
        <w:rPr>
          <w:i/>
        </w:rPr>
        <w:t>Evangelium</w:t>
      </w:r>
      <w:proofErr w:type="spellEnd"/>
      <w:r w:rsidRPr="00D31E38">
        <w:rPr>
          <w:i/>
        </w:rPr>
        <w:t xml:space="preserve"> vitae, </w:t>
      </w:r>
      <w:r w:rsidRPr="00D31E38">
        <w:t xml:space="preserve"> </w:t>
      </w:r>
      <w:r>
        <w:t xml:space="preserve">25 marzo 1995, </w:t>
      </w:r>
      <w:r w:rsidRPr="00D31E38">
        <w:t>nn.18-19; 44-45; 60.</w:t>
      </w:r>
    </w:p>
    <w:p w:rsidR="00D31E38" w:rsidRDefault="00D31E38">
      <w:pPr>
        <w:pStyle w:val="Testonotaapidipagina"/>
      </w:pPr>
      <w:r w:rsidRPr="00D31E38">
        <w:t>-</w:t>
      </w:r>
      <w:r w:rsidRPr="00D31E38">
        <w:rPr>
          <w:caps/>
        </w:rPr>
        <w:t xml:space="preserve">Congregazione per </w:t>
      </w:r>
      <w:smartTag w:uri="urn:schemas-microsoft-com:office:smarttags" w:element="PersonName">
        <w:smartTagPr>
          <w:attr w:name="ProductID" w:val="LA DOTTRINA DELLA FEDE"/>
        </w:smartTagPr>
        <w:r w:rsidRPr="00D31E38">
          <w:rPr>
            <w:caps/>
          </w:rPr>
          <w:t>la Dottrina della Fede</w:t>
        </w:r>
      </w:smartTag>
      <w:r w:rsidRPr="00D31E38">
        <w:t xml:space="preserve">, </w:t>
      </w:r>
      <w:proofErr w:type="spellStart"/>
      <w:r w:rsidRPr="00D31E38">
        <w:rPr>
          <w:i/>
        </w:rPr>
        <w:t>Dignitas</w:t>
      </w:r>
      <w:proofErr w:type="spellEnd"/>
      <w:r w:rsidRPr="00D31E38">
        <w:rPr>
          <w:i/>
        </w:rPr>
        <w:t xml:space="preserve"> </w:t>
      </w:r>
      <w:proofErr w:type="spellStart"/>
      <w:r w:rsidRPr="00D31E38">
        <w:rPr>
          <w:i/>
        </w:rPr>
        <w:t>Personae</w:t>
      </w:r>
      <w:proofErr w:type="spellEnd"/>
      <w:r w:rsidRPr="00D31E38">
        <w:rPr>
          <w:i/>
        </w:rPr>
        <w:t xml:space="preserve">, </w:t>
      </w:r>
      <w:r w:rsidRPr="00D31E38">
        <w:t xml:space="preserve"> 8 settembre 2008, n. 5.</w:t>
      </w:r>
    </w:p>
  </w:footnote>
  <w:footnote w:id="2">
    <w:p w:rsidR="00B05A9F" w:rsidRDefault="00B05A9F" w:rsidP="00B05A9F">
      <w:pPr>
        <w:pStyle w:val="Testonotaapidipagina"/>
      </w:pPr>
      <w:r>
        <w:rPr>
          <w:rStyle w:val="Rimandonotaapidipagina"/>
        </w:rPr>
        <w:footnoteRef/>
      </w:r>
      <w:r>
        <w:t xml:space="preserve"> CATECHISMO DELLA CHIESA CATTOLICA n. 2270.</w:t>
      </w:r>
    </w:p>
  </w:footnote>
  <w:footnote w:id="3">
    <w:p w:rsidR="00B05A9F" w:rsidRPr="00D543A9" w:rsidRDefault="00B05A9F" w:rsidP="00B05A9F">
      <w:pPr>
        <w:pStyle w:val="Testonotaapidipagina"/>
      </w:pPr>
      <w:r>
        <w:rPr>
          <w:rStyle w:val="Rimandonotaapidipagina"/>
        </w:rPr>
        <w:footnoteRef/>
      </w:r>
      <w:r>
        <w:t xml:space="preserve"> BENEDETTO XVI, </w:t>
      </w:r>
      <w:r>
        <w:rPr>
          <w:i/>
        </w:rPr>
        <w:t xml:space="preserve">Al congresso sull’embrione in fase preimpiantatoria, </w:t>
      </w:r>
      <w:r>
        <w:t>27 febbraio 2006.</w:t>
      </w:r>
    </w:p>
  </w:footnote>
  <w:footnote w:id="4">
    <w:p w:rsidR="00B05A9F" w:rsidRPr="00B05A9F" w:rsidRDefault="00B05A9F" w:rsidP="00B05A9F">
      <w:pPr>
        <w:pStyle w:val="Testonotaapidipagina"/>
      </w:pPr>
      <w:r>
        <w:rPr>
          <w:rStyle w:val="Rimandonotaapidipagina"/>
        </w:rPr>
        <w:footnoteRef/>
      </w:r>
      <w:r>
        <w:t xml:space="preserve"> </w:t>
      </w:r>
      <w:r w:rsidRPr="00B05A9F">
        <w:rPr>
          <w:i/>
        </w:rPr>
        <w:t>-</w:t>
      </w:r>
      <w:r w:rsidRPr="00B05A9F">
        <w:t xml:space="preserve">ONU, </w:t>
      </w:r>
      <w:r w:rsidRPr="00B05A9F">
        <w:rPr>
          <w:i/>
        </w:rPr>
        <w:t>Dichiarazione universale dei Diritti dell’uomo</w:t>
      </w:r>
      <w:r w:rsidRPr="00B05A9F">
        <w:t xml:space="preserve"> (1948), art. 1.</w:t>
      </w:r>
    </w:p>
    <w:p w:rsidR="00B05A9F" w:rsidRPr="00B05A9F" w:rsidRDefault="00B05A9F" w:rsidP="00B05A9F">
      <w:pPr>
        <w:pStyle w:val="Testonotaapidipagina"/>
      </w:pPr>
      <w:r w:rsidRPr="00B05A9F">
        <w:t xml:space="preserve">-ASSEMBLEA PARLAMENTARE DEL CONSIGLIO D’EUROPA, </w:t>
      </w:r>
      <w:r w:rsidRPr="00B05A9F">
        <w:rPr>
          <w:i/>
        </w:rPr>
        <w:t xml:space="preserve">Raccomandazione 1046 relativa all’utilizzo di embrioni e di feti umani a fini diagnostici, terapeutici, scientifici, industriali e commerciali </w:t>
      </w:r>
      <w:r w:rsidRPr="00B05A9F">
        <w:t>(1986), artt. 5 e 10.</w:t>
      </w:r>
    </w:p>
    <w:p w:rsidR="00B05A9F" w:rsidRPr="00B05A9F" w:rsidRDefault="00B05A9F" w:rsidP="00B05A9F">
      <w:pPr>
        <w:pStyle w:val="Testonotaapidipagina"/>
      </w:pPr>
      <w:r w:rsidRPr="00B05A9F">
        <w:t xml:space="preserve">-ASSEMBLEA PARLAMENTARE DEL CONSIGLIO D’EUROPA, </w:t>
      </w:r>
      <w:r w:rsidRPr="00B05A9F">
        <w:rPr>
          <w:i/>
        </w:rPr>
        <w:t>Raccomandazione 1100 sulla ricerca scientifica relativamente agli embrioni e ai feti umani</w:t>
      </w:r>
      <w:r w:rsidRPr="00B05A9F">
        <w:t xml:space="preserve"> (1989), artt.7-8.</w:t>
      </w:r>
    </w:p>
    <w:p w:rsidR="00B05A9F" w:rsidRPr="00B05A9F" w:rsidRDefault="00B05A9F" w:rsidP="00B05A9F">
      <w:pPr>
        <w:pStyle w:val="Testonotaapidipagina"/>
      </w:pPr>
      <w:r w:rsidRPr="00B05A9F">
        <w:rPr>
          <w:b/>
        </w:rPr>
        <w:t>-</w:t>
      </w:r>
      <w:r w:rsidRPr="00B05A9F">
        <w:t xml:space="preserve">ASSEMBLEA PARLAMENTARE DEL CONSIGLIO D’EUROPA, </w:t>
      </w:r>
      <w:r w:rsidRPr="00B05A9F">
        <w:rPr>
          <w:i/>
        </w:rPr>
        <w:t>Risoluzione sui problemi etici e giuridici della manipolazione genetica</w:t>
      </w:r>
      <w:r w:rsidRPr="00B05A9F">
        <w:t xml:space="preserve"> (1989), art. 31.</w:t>
      </w:r>
    </w:p>
    <w:p w:rsidR="00B05A9F" w:rsidRPr="00B05A9F" w:rsidRDefault="00B05A9F" w:rsidP="00B05A9F">
      <w:pPr>
        <w:pStyle w:val="Testonotaapidipagina"/>
      </w:pPr>
      <w:r w:rsidRPr="00B05A9F">
        <w:t xml:space="preserve">-PARLAMENTO EUROPEO, </w:t>
      </w:r>
      <w:r w:rsidRPr="00B05A9F">
        <w:rPr>
          <w:i/>
        </w:rPr>
        <w:t>Risoluzione sulla fecondazione artificiale “in vivo” e “in vitro”</w:t>
      </w:r>
      <w:r w:rsidRPr="00B05A9F">
        <w:t xml:space="preserve"> (1989), art. 4.</w:t>
      </w:r>
    </w:p>
    <w:p w:rsidR="00B05A9F" w:rsidRPr="00B05A9F" w:rsidRDefault="00B05A9F" w:rsidP="00B05A9F">
      <w:pPr>
        <w:pStyle w:val="Testonotaapidipagina"/>
      </w:pPr>
      <w:r w:rsidRPr="00B05A9F">
        <w:t xml:space="preserve">-CONSIGLIO D’EUROPA, </w:t>
      </w:r>
      <w:r w:rsidRPr="00B05A9F">
        <w:rPr>
          <w:i/>
        </w:rPr>
        <w:t>Convenzione per la protezione dei diritti dell’uomo e la dignità dell’essere umano riguardo alle applicazioni della biologia e della medicina. Convenzione sui diritti dell’uomo e la biomedicina (1996)</w:t>
      </w:r>
      <w:r w:rsidRPr="00B05A9F">
        <w:t>, art. 4.</w:t>
      </w:r>
    </w:p>
    <w:p w:rsidR="00B05A9F" w:rsidRPr="00B05A9F" w:rsidRDefault="00B05A9F" w:rsidP="00B05A9F">
      <w:pPr>
        <w:pStyle w:val="Testonotaapidipagina"/>
      </w:pPr>
      <w:r w:rsidRPr="00B05A9F">
        <w:t xml:space="preserve">-COMITATO NAZIONALE PER LA BIOETICA, </w:t>
      </w:r>
      <w:r w:rsidRPr="00B05A9F">
        <w:rPr>
          <w:i/>
        </w:rPr>
        <w:t>Identità e statuto dell’embrione umano</w:t>
      </w:r>
      <w:r w:rsidRPr="00B05A9F">
        <w:t xml:space="preserve">, Roma 1996, </w:t>
      </w:r>
      <w:proofErr w:type="spellStart"/>
      <w:r w:rsidRPr="00B05A9F">
        <w:t>pg</w:t>
      </w:r>
      <w:proofErr w:type="spellEnd"/>
      <w:r w:rsidRPr="00B05A9F">
        <w:t>. 10.</w:t>
      </w:r>
    </w:p>
    <w:p w:rsidR="00B05A9F" w:rsidRDefault="00B05A9F">
      <w:pPr>
        <w:pStyle w:val="Testonotaapidipagina"/>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4622"/>
    <w:rsid w:val="0007433B"/>
    <w:rsid w:val="000959B3"/>
    <w:rsid w:val="00254622"/>
    <w:rsid w:val="00B05A9F"/>
    <w:rsid w:val="00B607D7"/>
    <w:rsid w:val="00D31E3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line="30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B05A9F"/>
    <w:pPr>
      <w:spacing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B05A9F"/>
    <w:rPr>
      <w:sz w:val="20"/>
      <w:szCs w:val="20"/>
    </w:rPr>
  </w:style>
  <w:style w:type="character" w:styleId="Rimandonotaapidipagina">
    <w:name w:val="footnote reference"/>
    <w:semiHidden/>
    <w:rsid w:val="00B05A9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line="30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B05A9F"/>
    <w:pPr>
      <w:spacing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B05A9F"/>
    <w:rPr>
      <w:sz w:val="20"/>
      <w:szCs w:val="20"/>
    </w:rPr>
  </w:style>
  <w:style w:type="character" w:styleId="Rimandonotaapidipagina">
    <w:name w:val="footnote reference"/>
    <w:semiHidden/>
    <w:rsid w:val="00B05A9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00EAFA-DCC5-428D-A61C-6B91DD722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Pages>
  <Words>478</Words>
  <Characters>2729</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 gm. don maria comolli</dc:creator>
  <cp:lastModifiedBy>Gian gm. don maria comolli</cp:lastModifiedBy>
  <cp:revision>2</cp:revision>
  <dcterms:created xsi:type="dcterms:W3CDTF">2013-12-22T17:48:00Z</dcterms:created>
  <dcterms:modified xsi:type="dcterms:W3CDTF">2013-12-22T18:52:00Z</dcterms:modified>
</cp:coreProperties>
</file>