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52E" w:rsidRPr="0004152E" w:rsidRDefault="0004152E" w:rsidP="0004152E">
      <w:pPr>
        <w:widowControl w:val="0"/>
        <w:adjustRightInd w:val="0"/>
        <w:spacing w:line="360" w:lineRule="auto"/>
        <w:jc w:val="center"/>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ORDINANZA N. 185</w:t>
      </w:r>
    </w:p>
    <w:p w:rsidR="0004152E" w:rsidRPr="0004152E" w:rsidRDefault="0004152E" w:rsidP="0004152E">
      <w:pPr>
        <w:widowControl w:val="0"/>
        <w:adjustRightInd w:val="0"/>
        <w:spacing w:line="360" w:lineRule="auto"/>
        <w:jc w:val="center"/>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ANNO 2017</w:t>
      </w:r>
    </w:p>
    <w:p w:rsidR="0004152E" w:rsidRPr="0004152E" w:rsidRDefault="0004152E" w:rsidP="0004152E">
      <w:pPr>
        <w:widowControl w:val="0"/>
        <w:adjustRightInd w:val="0"/>
        <w:spacing w:line="360" w:lineRule="auto"/>
        <w:jc w:val="center"/>
        <w:rPr>
          <w:rFonts w:ascii="Times New Roman" w:eastAsia="Times New Roman" w:hAnsi="Times New Roman"/>
          <w:color w:val="000000"/>
          <w:sz w:val="24"/>
          <w:szCs w:val="24"/>
          <w:lang w:eastAsia="it-IT"/>
        </w:rPr>
      </w:pPr>
    </w:p>
    <w:p w:rsidR="0004152E" w:rsidRPr="0004152E" w:rsidRDefault="0004152E" w:rsidP="0004152E">
      <w:pPr>
        <w:widowControl w:val="0"/>
        <w:adjustRightInd w:val="0"/>
        <w:spacing w:line="360" w:lineRule="auto"/>
        <w:jc w:val="center"/>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REPUBBLICA ITALIANA</w:t>
      </w:r>
    </w:p>
    <w:p w:rsidR="0004152E" w:rsidRPr="0004152E" w:rsidRDefault="0004152E" w:rsidP="0004152E">
      <w:pPr>
        <w:widowControl w:val="0"/>
        <w:adjustRightInd w:val="0"/>
        <w:spacing w:line="360" w:lineRule="auto"/>
        <w:jc w:val="center"/>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IN NOME DEL POPOLO ITALIANO</w:t>
      </w:r>
    </w:p>
    <w:p w:rsidR="0004152E" w:rsidRPr="0004152E" w:rsidRDefault="0004152E" w:rsidP="0004152E">
      <w:pPr>
        <w:widowControl w:val="0"/>
        <w:adjustRightInd w:val="0"/>
        <w:spacing w:line="360" w:lineRule="auto"/>
        <w:jc w:val="center"/>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LA CORTE COSTITUZIONALE</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composta dai signori:</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w:t>
      </w:r>
      <w:r w:rsidRPr="0004152E">
        <w:rPr>
          <w:rFonts w:ascii="Times New Roman" w:eastAsia="Times New Roman" w:hAnsi="Times New Roman"/>
          <w:color w:val="000000"/>
          <w:sz w:val="24"/>
          <w:szCs w:val="24"/>
          <w:lang w:eastAsia="it-IT"/>
        </w:rPr>
        <w:tab/>
        <w:t>Paolo</w:t>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t>GROSSI</w:t>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t>Presidente</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 xml:space="preserve">- </w:t>
      </w:r>
      <w:r w:rsidRPr="0004152E">
        <w:rPr>
          <w:rFonts w:ascii="Times New Roman" w:eastAsia="Times New Roman" w:hAnsi="Times New Roman"/>
          <w:color w:val="000000"/>
          <w:sz w:val="24"/>
          <w:szCs w:val="24"/>
          <w:lang w:eastAsia="it-IT"/>
        </w:rPr>
        <w:tab/>
        <w:t xml:space="preserve">Giorgio              </w:t>
      </w:r>
      <w:r w:rsidRPr="0004152E">
        <w:rPr>
          <w:rFonts w:ascii="Times New Roman" w:eastAsia="Times New Roman" w:hAnsi="Times New Roman"/>
          <w:color w:val="000000"/>
          <w:sz w:val="24"/>
          <w:szCs w:val="24"/>
          <w:lang w:eastAsia="it-IT"/>
        </w:rPr>
        <w:tab/>
        <w:t xml:space="preserve"> LATTANZI         </w:t>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t xml:space="preserve">  Giudice</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w:t>
      </w:r>
      <w:r w:rsidRPr="0004152E">
        <w:rPr>
          <w:rFonts w:ascii="Times New Roman" w:eastAsia="Times New Roman" w:hAnsi="Times New Roman"/>
          <w:color w:val="000000"/>
          <w:sz w:val="24"/>
          <w:szCs w:val="24"/>
          <w:lang w:eastAsia="it-IT"/>
        </w:rPr>
        <w:tab/>
        <w:t xml:space="preserve">Aldo                 </w:t>
      </w:r>
      <w:r w:rsidRPr="0004152E">
        <w:rPr>
          <w:rFonts w:ascii="Times New Roman" w:eastAsia="Times New Roman" w:hAnsi="Times New Roman"/>
          <w:color w:val="000000"/>
          <w:sz w:val="24"/>
          <w:szCs w:val="24"/>
          <w:lang w:eastAsia="it-IT"/>
        </w:rPr>
        <w:tab/>
        <w:t xml:space="preserve"> CAROSI           </w:t>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t xml:space="preserve">        ”</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w:t>
      </w:r>
      <w:r w:rsidRPr="0004152E">
        <w:rPr>
          <w:rFonts w:ascii="Times New Roman" w:eastAsia="Times New Roman" w:hAnsi="Times New Roman"/>
          <w:color w:val="000000"/>
          <w:sz w:val="24"/>
          <w:szCs w:val="24"/>
          <w:lang w:eastAsia="it-IT"/>
        </w:rPr>
        <w:tab/>
        <w:t xml:space="preserve">Marta                </w:t>
      </w:r>
      <w:r w:rsidRPr="0004152E">
        <w:rPr>
          <w:rFonts w:ascii="Times New Roman" w:eastAsia="Times New Roman" w:hAnsi="Times New Roman"/>
          <w:color w:val="000000"/>
          <w:sz w:val="24"/>
          <w:szCs w:val="24"/>
          <w:lang w:eastAsia="it-IT"/>
        </w:rPr>
        <w:tab/>
        <w:t xml:space="preserve"> CARTABIA         </w:t>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t xml:space="preserve">        ”</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 xml:space="preserve">- </w:t>
      </w:r>
      <w:r w:rsidRPr="0004152E">
        <w:rPr>
          <w:rFonts w:ascii="Times New Roman" w:eastAsia="Times New Roman" w:hAnsi="Times New Roman"/>
          <w:color w:val="000000"/>
          <w:sz w:val="24"/>
          <w:szCs w:val="24"/>
          <w:lang w:eastAsia="it-IT"/>
        </w:rPr>
        <w:tab/>
        <w:t xml:space="preserve">Mario Rosario    </w:t>
      </w:r>
      <w:r w:rsidRPr="0004152E">
        <w:rPr>
          <w:rFonts w:ascii="Times New Roman" w:eastAsia="Times New Roman" w:hAnsi="Times New Roman"/>
          <w:color w:val="000000"/>
          <w:sz w:val="24"/>
          <w:szCs w:val="24"/>
          <w:lang w:eastAsia="it-IT"/>
        </w:rPr>
        <w:tab/>
        <w:t xml:space="preserve"> MORELLI          </w:t>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t xml:space="preserve">        ”</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w:t>
      </w:r>
      <w:r w:rsidRPr="0004152E">
        <w:rPr>
          <w:rFonts w:ascii="Times New Roman" w:eastAsia="Times New Roman" w:hAnsi="Times New Roman"/>
          <w:color w:val="000000"/>
          <w:sz w:val="24"/>
          <w:szCs w:val="24"/>
          <w:lang w:eastAsia="it-IT"/>
        </w:rPr>
        <w:tab/>
        <w:t xml:space="preserve">Giancarlo            </w:t>
      </w:r>
      <w:r w:rsidRPr="0004152E">
        <w:rPr>
          <w:rFonts w:ascii="Times New Roman" w:eastAsia="Times New Roman" w:hAnsi="Times New Roman"/>
          <w:color w:val="000000"/>
          <w:sz w:val="24"/>
          <w:szCs w:val="24"/>
          <w:lang w:eastAsia="it-IT"/>
        </w:rPr>
        <w:tab/>
        <w:t xml:space="preserve"> CORAGGIO         </w:t>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t xml:space="preserve">        ”</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w:t>
      </w:r>
      <w:r w:rsidRPr="0004152E">
        <w:rPr>
          <w:rFonts w:ascii="Times New Roman" w:eastAsia="Times New Roman" w:hAnsi="Times New Roman"/>
          <w:color w:val="000000"/>
          <w:sz w:val="24"/>
          <w:szCs w:val="24"/>
          <w:lang w:eastAsia="it-IT"/>
        </w:rPr>
        <w:tab/>
        <w:t xml:space="preserve">Giuliano             </w:t>
      </w:r>
      <w:r w:rsidRPr="0004152E">
        <w:rPr>
          <w:rFonts w:ascii="Times New Roman" w:eastAsia="Times New Roman" w:hAnsi="Times New Roman"/>
          <w:color w:val="000000"/>
          <w:sz w:val="24"/>
          <w:szCs w:val="24"/>
          <w:lang w:eastAsia="it-IT"/>
        </w:rPr>
        <w:tab/>
        <w:t xml:space="preserve"> AMATO            </w:t>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t xml:space="preserve">        ”</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w:t>
      </w:r>
      <w:r w:rsidRPr="0004152E">
        <w:rPr>
          <w:rFonts w:ascii="Times New Roman" w:eastAsia="Times New Roman" w:hAnsi="Times New Roman"/>
          <w:color w:val="000000"/>
          <w:sz w:val="24"/>
          <w:szCs w:val="24"/>
          <w:lang w:eastAsia="it-IT"/>
        </w:rPr>
        <w:tab/>
        <w:t xml:space="preserve">Silvana              </w:t>
      </w:r>
      <w:r w:rsidRPr="0004152E">
        <w:rPr>
          <w:rFonts w:ascii="Times New Roman" w:eastAsia="Times New Roman" w:hAnsi="Times New Roman"/>
          <w:color w:val="000000"/>
          <w:sz w:val="24"/>
          <w:szCs w:val="24"/>
          <w:lang w:eastAsia="it-IT"/>
        </w:rPr>
        <w:tab/>
        <w:t xml:space="preserve"> SCIARRA          </w:t>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t xml:space="preserve">        ”</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w:t>
      </w:r>
      <w:r w:rsidRPr="0004152E">
        <w:rPr>
          <w:rFonts w:ascii="Times New Roman" w:eastAsia="Times New Roman" w:hAnsi="Times New Roman"/>
          <w:color w:val="000000"/>
          <w:sz w:val="24"/>
          <w:szCs w:val="24"/>
          <w:lang w:eastAsia="it-IT"/>
        </w:rPr>
        <w:tab/>
        <w:t xml:space="preserve">Daria                </w:t>
      </w:r>
      <w:r w:rsidRPr="0004152E">
        <w:rPr>
          <w:rFonts w:ascii="Times New Roman" w:eastAsia="Times New Roman" w:hAnsi="Times New Roman"/>
          <w:color w:val="000000"/>
          <w:sz w:val="24"/>
          <w:szCs w:val="24"/>
          <w:lang w:eastAsia="it-IT"/>
        </w:rPr>
        <w:tab/>
        <w:t xml:space="preserve"> de PRETIS        </w:t>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t xml:space="preserve">        ”</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w:t>
      </w:r>
      <w:r w:rsidRPr="0004152E">
        <w:rPr>
          <w:rFonts w:ascii="Times New Roman" w:eastAsia="Times New Roman" w:hAnsi="Times New Roman"/>
          <w:color w:val="000000"/>
          <w:sz w:val="24"/>
          <w:szCs w:val="24"/>
          <w:lang w:eastAsia="it-IT"/>
        </w:rPr>
        <w:tab/>
        <w:t xml:space="preserve">Nicolò               </w:t>
      </w:r>
      <w:r w:rsidRPr="0004152E">
        <w:rPr>
          <w:rFonts w:ascii="Times New Roman" w:eastAsia="Times New Roman" w:hAnsi="Times New Roman"/>
          <w:color w:val="000000"/>
          <w:sz w:val="24"/>
          <w:szCs w:val="24"/>
          <w:lang w:eastAsia="it-IT"/>
        </w:rPr>
        <w:tab/>
        <w:t xml:space="preserve"> ZANON            </w:t>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t xml:space="preserve">        ”</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w:t>
      </w:r>
      <w:r w:rsidRPr="0004152E">
        <w:rPr>
          <w:rFonts w:ascii="Times New Roman" w:eastAsia="Times New Roman" w:hAnsi="Times New Roman"/>
          <w:color w:val="000000"/>
          <w:sz w:val="24"/>
          <w:szCs w:val="24"/>
          <w:lang w:eastAsia="it-IT"/>
        </w:rPr>
        <w:tab/>
        <w:t>Augusto</w:t>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t>BARBERA</w:t>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t xml:space="preserve">        ”</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w:t>
      </w:r>
      <w:r w:rsidRPr="0004152E">
        <w:rPr>
          <w:rFonts w:ascii="Times New Roman" w:eastAsia="Times New Roman" w:hAnsi="Times New Roman"/>
          <w:color w:val="000000"/>
          <w:sz w:val="24"/>
          <w:szCs w:val="24"/>
          <w:lang w:eastAsia="it-IT"/>
        </w:rPr>
        <w:tab/>
        <w:t xml:space="preserve">Franco               </w:t>
      </w:r>
      <w:r w:rsidRPr="0004152E">
        <w:rPr>
          <w:rFonts w:ascii="Times New Roman" w:eastAsia="Times New Roman" w:hAnsi="Times New Roman"/>
          <w:color w:val="000000"/>
          <w:sz w:val="24"/>
          <w:szCs w:val="24"/>
          <w:lang w:eastAsia="it-IT"/>
        </w:rPr>
        <w:tab/>
        <w:t xml:space="preserve"> MODUGNO            </w:t>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t xml:space="preserve">        ”</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w:t>
      </w:r>
      <w:r w:rsidRPr="0004152E">
        <w:rPr>
          <w:rFonts w:ascii="Times New Roman" w:eastAsia="Times New Roman" w:hAnsi="Times New Roman"/>
          <w:color w:val="000000"/>
          <w:sz w:val="24"/>
          <w:szCs w:val="24"/>
          <w:lang w:eastAsia="it-IT"/>
        </w:rPr>
        <w:tab/>
        <w:t xml:space="preserve">Giulio               </w:t>
      </w:r>
      <w:r w:rsidRPr="0004152E">
        <w:rPr>
          <w:rFonts w:ascii="Times New Roman" w:eastAsia="Times New Roman" w:hAnsi="Times New Roman"/>
          <w:color w:val="000000"/>
          <w:sz w:val="24"/>
          <w:szCs w:val="24"/>
          <w:lang w:eastAsia="it-IT"/>
        </w:rPr>
        <w:tab/>
        <w:t xml:space="preserve"> PROSPERETTI          </w:t>
      </w:r>
      <w:r w:rsidRPr="0004152E">
        <w:rPr>
          <w:rFonts w:ascii="Times New Roman" w:eastAsia="Times New Roman" w:hAnsi="Times New Roman"/>
          <w:color w:val="000000"/>
          <w:sz w:val="24"/>
          <w:szCs w:val="24"/>
          <w:lang w:eastAsia="it-IT"/>
        </w:rPr>
        <w:tab/>
      </w:r>
      <w:r w:rsidRPr="0004152E">
        <w:rPr>
          <w:rFonts w:ascii="Times New Roman" w:eastAsia="Times New Roman" w:hAnsi="Times New Roman"/>
          <w:color w:val="000000"/>
          <w:sz w:val="24"/>
          <w:szCs w:val="24"/>
          <w:lang w:eastAsia="it-IT"/>
        </w:rPr>
        <w:tab/>
        <w:t xml:space="preserve">        ”</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ha pronunciato la seguente</w:t>
      </w:r>
    </w:p>
    <w:p w:rsidR="0004152E" w:rsidRPr="0004152E" w:rsidRDefault="0004152E" w:rsidP="0004152E">
      <w:pPr>
        <w:widowControl w:val="0"/>
        <w:adjustRightInd w:val="0"/>
        <w:spacing w:line="360" w:lineRule="auto"/>
        <w:jc w:val="center"/>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ORDINANZA</w:t>
      </w:r>
    </w:p>
    <w:p w:rsidR="0004152E" w:rsidRPr="0004152E" w:rsidRDefault="0004152E" w:rsidP="0004152E">
      <w:pPr>
        <w:widowControl w:val="0"/>
        <w:adjustRightInd w:val="0"/>
        <w:spacing w:line="360" w:lineRule="auto"/>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 xml:space="preserve">nel giudizio di legittimità costituzionale </w:t>
      </w:r>
      <w:r w:rsidRPr="0004152E">
        <w:rPr>
          <w:rFonts w:ascii="Times New Roman" w:eastAsia="Times New Roman" w:hAnsi="Times New Roman"/>
          <w:sz w:val="24"/>
          <w:szCs w:val="24"/>
          <w:lang w:eastAsia="it-IT"/>
        </w:rPr>
        <w:t xml:space="preserve">dell’art. 1, comma 1, della </w:t>
      </w:r>
      <w:hyperlink r:id="rId5" w:history="1">
        <w:r w:rsidRPr="0004152E">
          <w:rPr>
            <w:rFonts w:ascii="Times New Roman" w:eastAsia="Times New Roman" w:hAnsi="Times New Roman"/>
            <w:color w:val="0000FF"/>
            <w:sz w:val="24"/>
            <w:szCs w:val="24"/>
            <w:u w:val="single"/>
            <w:lang w:eastAsia="it-IT"/>
          </w:rPr>
          <w:t>legge 14 aprile 1982, n. 164 (Norme in materia di rettificazione di attribuzione di sesso)</w:t>
        </w:r>
      </w:hyperlink>
      <w:r w:rsidRPr="0004152E">
        <w:rPr>
          <w:rFonts w:ascii="Times New Roman" w:eastAsia="Times New Roman" w:hAnsi="Times New Roman"/>
          <w:sz w:val="24"/>
          <w:szCs w:val="24"/>
          <w:lang w:eastAsia="it-IT"/>
        </w:rPr>
        <w:t xml:space="preserve">, </w:t>
      </w:r>
      <w:r w:rsidRPr="0004152E">
        <w:rPr>
          <w:rFonts w:ascii="Times New Roman" w:eastAsia="Times New Roman" w:hAnsi="Times New Roman"/>
          <w:color w:val="000000"/>
          <w:sz w:val="24"/>
          <w:szCs w:val="24"/>
          <w:lang w:eastAsia="it-IT"/>
        </w:rPr>
        <w:t>promosso</w:t>
      </w:r>
      <w:r w:rsidRPr="0004152E">
        <w:rPr>
          <w:rFonts w:ascii="Times New Roman" w:eastAsia="Times New Roman" w:hAnsi="Times New Roman"/>
          <w:sz w:val="24"/>
          <w:szCs w:val="24"/>
          <w:lang w:eastAsia="it-IT"/>
        </w:rPr>
        <w:t xml:space="preserve"> dal Tribunale ordinario di Avezzano, </w:t>
      </w:r>
      <w:r w:rsidRPr="0004152E">
        <w:rPr>
          <w:rFonts w:ascii="Times New Roman" w:eastAsia="Times New Roman" w:hAnsi="Times New Roman"/>
          <w:color w:val="000000"/>
          <w:sz w:val="24"/>
          <w:szCs w:val="24"/>
          <w:lang w:eastAsia="it-IT"/>
        </w:rPr>
        <w:t xml:space="preserve">nel procedimento vertente tra S. T. e Pubblico ministero presso la Procura della Repubblica del Tribunale ordinario di Avezzano, </w:t>
      </w:r>
      <w:hyperlink r:id="rId6" w:history="1">
        <w:r w:rsidRPr="0004152E">
          <w:rPr>
            <w:rFonts w:ascii="Times New Roman" w:eastAsia="Times New Roman" w:hAnsi="Times New Roman"/>
            <w:color w:val="0000FF"/>
            <w:sz w:val="24"/>
            <w:szCs w:val="24"/>
            <w:u w:val="single"/>
            <w:lang w:eastAsia="it-IT"/>
          </w:rPr>
          <w:t xml:space="preserve">con ordinanza del 12 gennaio 2017, iscritta al n. 58 del registro ordinanze 2017 e pubblicata nella </w:t>
        </w:r>
        <w:r w:rsidRPr="0004152E">
          <w:rPr>
            <w:rFonts w:ascii="Times New Roman" w:eastAsia="Times New Roman" w:hAnsi="Times New Roman"/>
            <w:i/>
            <w:iCs/>
            <w:color w:val="0000FF"/>
            <w:sz w:val="24"/>
            <w:szCs w:val="24"/>
            <w:u w:val="single"/>
            <w:lang w:eastAsia="it-IT"/>
          </w:rPr>
          <w:t xml:space="preserve">Gazzetta Ufficiale </w:t>
        </w:r>
        <w:r w:rsidRPr="0004152E">
          <w:rPr>
            <w:rFonts w:ascii="Times New Roman" w:eastAsia="Times New Roman" w:hAnsi="Times New Roman"/>
            <w:color w:val="0000FF"/>
            <w:sz w:val="24"/>
            <w:szCs w:val="24"/>
            <w:u w:val="single"/>
            <w:lang w:eastAsia="it-IT"/>
          </w:rPr>
          <w:t>della Repubblica n. 17, prima serie speciale, dell’anno 2017</w:t>
        </w:r>
      </w:hyperlink>
      <w:r w:rsidRPr="0004152E">
        <w:rPr>
          <w:rFonts w:ascii="Times New Roman" w:eastAsia="Times New Roman" w:hAnsi="Times New Roman"/>
          <w:color w:val="000000"/>
          <w:sz w:val="24"/>
          <w:szCs w:val="24"/>
          <w:lang w:eastAsia="it-IT"/>
        </w:rPr>
        <w:t>.</w:t>
      </w:r>
    </w:p>
    <w:p w:rsidR="0004152E" w:rsidRPr="0004152E" w:rsidRDefault="0004152E" w:rsidP="0004152E">
      <w:pPr>
        <w:widowControl w:val="0"/>
        <w:adjustRightInd w:val="0"/>
        <w:spacing w:line="360" w:lineRule="auto"/>
        <w:ind w:firstLine="567"/>
        <w:rPr>
          <w:rFonts w:ascii="Times New Roman" w:eastAsia="Times New Roman" w:hAnsi="Times New Roman"/>
          <w:sz w:val="24"/>
          <w:szCs w:val="24"/>
          <w:lang w:eastAsia="it-IT"/>
        </w:rPr>
      </w:pPr>
      <w:r w:rsidRPr="0004152E">
        <w:rPr>
          <w:rFonts w:ascii="Times New Roman" w:eastAsia="Times New Roman" w:hAnsi="Times New Roman"/>
          <w:i/>
          <w:iCs/>
          <w:color w:val="000000"/>
          <w:sz w:val="24"/>
          <w:szCs w:val="24"/>
          <w:lang w:eastAsia="it-IT"/>
        </w:rPr>
        <w:t>Visto</w:t>
      </w:r>
      <w:r w:rsidRPr="0004152E">
        <w:rPr>
          <w:rFonts w:ascii="Times New Roman" w:eastAsia="Times New Roman" w:hAnsi="Times New Roman"/>
          <w:iCs/>
          <w:color w:val="000000"/>
          <w:sz w:val="24"/>
          <w:szCs w:val="24"/>
          <w:lang w:eastAsia="it-IT"/>
        </w:rPr>
        <w:t xml:space="preserve"> </w:t>
      </w:r>
      <w:r w:rsidRPr="0004152E">
        <w:rPr>
          <w:rFonts w:ascii="Times New Roman" w:eastAsia="Times New Roman" w:hAnsi="Times New Roman"/>
          <w:sz w:val="24"/>
          <w:szCs w:val="24"/>
          <w:lang w:eastAsia="it-IT"/>
        </w:rPr>
        <w:t>l’atto di intervento del Presidente del Consiglio dei ministri;</w:t>
      </w:r>
    </w:p>
    <w:p w:rsidR="0004152E" w:rsidRPr="0004152E" w:rsidRDefault="0004152E" w:rsidP="0004152E">
      <w:pPr>
        <w:widowControl w:val="0"/>
        <w:adjustRightInd w:val="0"/>
        <w:spacing w:line="360" w:lineRule="auto"/>
        <w:ind w:firstLine="567"/>
        <w:rPr>
          <w:rFonts w:ascii="Times New Roman" w:eastAsia="Times New Roman" w:hAnsi="Times New Roman"/>
          <w:sz w:val="24"/>
          <w:szCs w:val="24"/>
          <w:lang w:eastAsia="it-IT"/>
        </w:rPr>
      </w:pPr>
      <w:r w:rsidRPr="0004152E">
        <w:rPr>
          <w:rFonts w:ascii="Times New Roman" w:eastAsia="Times New Roman" w:hAnsi="Times New Roman"/>
          <w:i/>
          <w:sz w:val="24"/>
          <w:szCs w:val="24"/>
          <w:lang w:eastAsia="it-IT"/>
        </w:rPr>
        <w:t>udito</w:t>
      </w:r>
      <w:r w:rsidRPr="0004152E">
        <w:rPr>
          <w:rFonts w:ascii="Times New Roman" w:eastAsia="Times New Roman" w:hAnsi="Times New Roman"/>
          <w:sz w:val="24"/>
          <w:szCs w:val="24"/>
          <w:lang w:eastAsia="it-IT"/>
        </w:rPr>
        <w:t xml:space="preserve"> nella camera di consiglio del 21 giugno 2017 il Giudice relatore Giuliano Amato</w:t>
      </w:r>
      <w:r w:rsidRPr="0004152E">
        <w:rPr>
          <w:rFonts w:ascii="Times New Roman" w:eastAsia="Times New Roman" w:hAnsi="Times New Roman"/>
          <w:color w:val="000000"/>
          <w:sz w:val="24"/>
          <w:szCs w:val="24"/>
          <w:lang w:eastAsia="it-IT"/>
        </w:rPr>
        <w:t>.</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Times New Roman" w:hAnsi="Times New Roman" w:cs="Calibri"/>
          <w:color w:val="000000"/>
          <w:sz w:val="24"/>
          <w:szCs w:val="24"/>
          <w:u w:color="000000"/>
          <w:lang w:eastAsia="it-IT"/>
        </w:rPr>
      </w:pPr>
      <w:r w:rsidRPr="0004152E">
        <w:rPr>
          <w:rFonts w:ascii="Times New Roman" w:eastAsia="Calibri" w:hAnsi="Times New Roman" w:cs="Calibri"/>
          <w:i/>
          <w:color w:val="000000"/>
          <w:sz w:val="24"/>
          <w:szCs w:val="24"/>
          <w:u w:color="000000"/>
          <w:lang w:eastAsia="it-IT"/>
        </w:rPr>
        <w:t xml:space="preserve">Ritenuto </w:t>
      </w:r>
      <w:r w:rsidRPr="0004152E">
        <w:rPr>
          <w:rFonts w:ascii="Times New Roman" w:eastAsia="Calibri" w:hAnsi="Times New Roman" w:cs="Calibri"/>
          <w:color w:val="000000"/>
          <w:sz w:val="24"/>
          <w:szCs w:val="24"/>
          <w:u w:color="000000"/>
          <w:lang w:eastAsia="it-IT"/>
        </w:rPr>
        <w:t xml:space="preserve">che </w:t>
      </w:r>
      <w:r w:rsidRPr="0004152E">
        <w:rPr>
          <w:rFonts w:ascii="Times New Roman" w:eastAsia="Times New Roman" w:hAnsi="Times New Roman" w:cs="Times New Roman"/>
          <w:color w:val="000000"/>
          <w:sz w:val="24"/>
          <w:szCs w:val="24"/>
          <w:u w:color="000000"/>
          <w:lang w:eastAsia="it-IT"/>
        </w:rPr>
        <w:t xml:space="preserve">il Tribunale ordinario di Avezzano ha sollevato, in riferimento agli </w:t>
      </w:r>
      <w:hyperlink r:id="rId7" w:history="1">
        <w:r w:rsidRPr="0004152E">
          <w:rPr>
            <w:rFonts w:ascii="Times New Roman" w:eastAsia="Times New Roman" w:hAnsi="Times New Roman" w:cs="Times New Roman"/>
            <w:color w:val="0000FF"/>
            <w:sz w:val="24"/>
            <w:szCs w:val="24"/>
            <w:u w:val="single" w:color="000000"/>
            <w:lang w:eastAsia="it-IT"/>
          </w:rPr>
          <w:t>artt. 2</w:t>
        </w:r>
      </w:hyperlink>
      <w:r w:rsidRPr="0004152E">
        <w:rPr>
          <w:rFonts w:ascii="Times New Roman" w:eastAsia="Times New Roman" w:hAnsi="Times New Roman" w:cs="Times New Roman"/>
          <w:color w:val="000000"/>
          <w:sz w:val="24"/>
          <w:szCs w:val="24"/>
          <w:u w:color="000000"/>
          <w:lang w:eastAsia="it-IT"/>
        </w:rPr>
        <w:t xml:space="preserve"> e </w:t>
      </w:r>
      <w:hyperlink r:id="rId8" w:history="1">
        <w:r w:rsidRPr="0004152E">
          <w:rPr>
            <w:rFonts w:ascii="Times New Roman" w:eastAsia="Times New Roman" w:hAnsi="Times New Roman" w:cs="Times New Roman"/>
            <w:color w:val="0000FF"/>
            <w:sz w:val="24"/>
            <w:szCs w:val="24"/>
            <w:u w:val="single" w:color="000000"/>
            <w:lang w:eastAsia="it-IT"/>
          </w:rPr>
          <w:t>3 della Costituzione</w:t>
        </w:r>
      </w:hyperlink>
      <w:r w:rsidRPr="0004152E">
        <w:rPr>
          <w:rFonts w:ascii="Times New Roman" w:eastAsia="Times New Roman" w:hAnsi="Times New Roman" w:cs="Times New Roman"/>
          <w:color w:val="000000"/>
          <w:sz w:val="24"/>
          <w:szCs w:val="24"/>
          <w:u w:color="000000"/>
          <w:lang w:eastAsia="it-IT"/>
        </w:rPr>
        <w:t xml:space="preserve">, questione di legittimità costituzionale dell’art. 1, comma 1, della legge </w:t>
      </w:r>
      <w:r w:rsidRPr="0004152E">
        <w:rPr>
          <w:rFonts w:ascii="Times New Roman" w:eastAsia="Calibri" w:hAnsi="Times New Roman" w:cs="Calibri"/>
          <w:color w:val="000000"/>
          <w:sz w:val="24"/>
          <w:szCs w:val="24"/>
          <w:u w:color="000000"/>
          <w:lang w:eastAsia="it-IT"/>
        </w:rPr>
        <w:t xml:space="preserve">14 aprile 1982, n. 164 (Norme in materia di rettificazione di attribuzione di sesso), nell’interpretazione data dalla </w:t>
      </w:r>
      <w:hyperlink r:id="rId9" w:history="1">
        <w:r w:rsidRPr="0004152E">
          <w:rPr>
            <w:rFonts w:ascii="Times New Roman" w:eastAsia="Calibri" w:hAnsi="Times New Roman" w:cs="Calibri"/>
            <w:color w:val="0000FF"/>
            <w:sz w:val="24"/>
            <w:szCs w:val="24"/>
            <w:u w:val="single" w:color="000000"/>
            <w:lang w:eastAsia="it-IT"/>
          </w:rPr>
          <w:t>sentenza n. 221 del 2015</w:t>
        </w:r>
      </w:hyperlink>
      <w:r w:rsidRPr="0004152E">
        <w:rPr>
          <w:rFonts w:ascii="Times New Roman" w:eastAsia="Calibri" w:hAnsi="Times New Roman" w:cs="Calibri"/>
          <w:color w:val="000000"/>
          <w:sz w:val="24"/>
          <w:szCs w:val="24"/>
          <w:u w:color="000000"/>
          <w:lang w:eastAsia="it-IT"/>
        </w:rPr>
        <w:t xml:space="preserve"> di questa Corte e dalla sentenza 20 luglio 2015, n. 15138 della Corte </w:t>
      </w:r>
      <w:r w:rsidRPr="0004152E">
        <w:rPr>
          <w:rFonts w:ascii="Times New Roman" w:eastAsia="Calibri" w:hAnsi="Times New Roman" w:cs="Calibri"/>
          <w:color w:val="000000"/>
          <w:sz w:val="24"/>
          <w:szCs w:val="24"/>
          <w:u w:color="000000"/>
          <w:lang w:eastAsia="it-IT"/>
        </w:rPr>
        <w:lastRenderedPageBreak/>
        <w:t xml:space="preserve">di cassazione, in quanto </w:t>
      </w:r>
      <w:r w:rsidRPr="0004152E">
        <w:rPr>
          <w:rFonts w:ascii="Times New Roman" w:eastAsia="Times New Roman" w:hAnsi="Times New Roman" w:cs="Times New Roman"/>
          <w:color w:val="000000"/>
          <w:sz w:val="24"/>
          <w:szCs w:val="24"/>
          <w:u w:color="000000"/>
          <w:lang w:eastAsia="it-IT"/>
        </w:rPr>
        <w:t xml:space="preserve">il riconoscimento del diritto alla rettifica dell’attribuzione di sesso, anche in assenza di modifica dei caratteri sessuali primari, </w:t>
      </w:r>
      <w:r w:rsidRPr="0004152E">
        <w:rPr>
          <w:rFonts w:ascii="Times New Roman" w:eastAsia="Times New Roman" w:hAnsi="Times New Roman" w:cs="Calibri"/>
          <w:color w:val="000000"/>
          <w:sz w:val="24"/>
          <w:szCs w:val="24"/>
          <w:u w:color="000000"/>
          <w:lang w:eastAsia="it-IT"/>
        </w:rPr>
        <w:t xml:space="preserve">finirebbe per prevalere sul diritto della gran parte dei consociati a conservare </w:t>
      </w:r>
      <w:r w:rsidRPr="0004152E">
        <w:rPr>
          <w:rFonts w:ascii="Times New Roman" w:eastAsia="Times New Roman" w:hAnsi="Times New Roman" w:cs="Times New Roman"/>
          <w:color w:val="000000"/>
          <w:sz w:val="24"/>
          <w:szCs w:val="24"/>
          <w:u w:color="000000"/>
          <w:lang w:eastAsia="it-IT"/>
        </w:rPr>
        <w:t>«</w:t>
      </w:r>
      <w:r w:rsidRPr="0004152E">
        <w:rPr>
          <w:rFonts w:ascii="Times New Roman" w:eastAsia="Times New Roman" w:hAnsi="Times New Roman" w:cs="Calibri"/>
          <w:color w:val="000000"/>
          <w:sz w:val="24"/>
          <w:szCs w:val="24"/>
          <w:u w:color="000000"/>
          <w:lang w:eastAsia="it-IT"/>
        </w:rPr>
        <w:t>il pieno duopolio uomo/donna</w:t>
      </w:r>
      <w:r w:rsidRPr="0004152E">
        <w:rPr>
          <w:rFonts w:ascii="Times New Roman" w:eastAsia="Times New Roman" w:hAnsi="Times New Roman" w:cs="Times New Roman"/>
          <w:color w:val="000000"/>
          <w:sz w:val="24"/>
          <w:szCs w:val="24"/>
          <w:u w:color="000000"/>
          <w:lang w:eastAsia="it-IT"/>
        </w:rPr>
        <w:t>»</w:t>
      </w:r>
      <w:r w:rsidRPr="0004152E">
        <w:rPr>
          <w:rFonts w:ascii="Times New Roman" w:eastAsia="Times New Roman" w:hAnsi="Times New Roman" w:cs="Calibri"/>
          <w:color w:val="000000"/>
          <w:sz w:val="24"/>
          <w:szCs w:val="24"/>
          <w:u w:color="000000"/>
          <w:lang w:eastAsia="it-IT"/>
        </w:rPr>
        <w:t xml:space="preserve">, </w:t>
      </w:r>
      <w:r w:rsidRPr="0004152E">
        <w:rPr>
          <w:rFonts w:ascii="Times New Roman" w:eastAsia="Times New Roman" w:hAnsi="Times New Roman" w:cs="Times New Roman"/>
          <w:color w:val="000000"/>
          <w:sz w:val="24"/>
          <w:szCs w:val="24"/>
          <w:u w:color="000000"/>
          <w:lang w:eastAsia="it-IT"/>
        </w:rPr>
        <w:t xml:space="preserve">comprimendo irragionevolmente i doveri inderogabili di solidarietà sociale, </w:t>
      </w:r>
      <w:r w:rsidRPr="0004152E">
        <w:rPr>
          <w:rFonts w:ascii="Times New Roman" w:eastAsia="Times New Roman" w:hAnsi="Times New Roman" w:cs="Calibri"/>
          <w:color w:val="000000"/>
          <w:sz w:val="24"/>
          <w:szCs w:val="24"/>
          <w:u w:color="000000"/>
          <w:lang w:eastAsia="it-IT"/>
        </w:rPr>
        <w:t>e imporrebbe alla collettività la necessità di adeguarsi alla sua estrinsecazione anche nei confronti di minori, lavoratori, istituzioni, imponendo loro un mutamento dei tradizionali valori, comunemente accettati;</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Times New Roman" w:hAnsi="Times New Roman" w:cs="Times New Roman"/>
          <w:color w:val="000000"/>
          <w:sz w:val="24"/>
          <w:szCs w:val="24"/>
          <w:u w:color="000000"/>
          <w:lang w:eastAsia="it-IT"/>
        </w:rPr>
      </w:pPr>
      <w:r w:rsidRPr="0004152E">
        <w:rPr>
          <w:rFonts w:ascii="Times New Roman" w:eastAsia="Times New Roman" w:hAnsi="Times New Roman" w:cs="Times New Roman"/>
          <w:color w:val="000000"/>
          <w:sz w:val="24"/>
          <w:szCs w:val="24"/>
          <w:u w:color="000000"/>
          <w:lang w:eastAsia="it-IT"/>
        </w:rPr>
        <w:t xml:space="preserve">che il giudice </w:t>
      </w:r>
      <w:r w:rsidRPr="0004152E">
        <w:rPr>
          <w:rFonts w:ascii="Times New Roman" w:eastAsia="Times New Roman" w:hAnsi="Times New Roman" w:cs="Times New Roman"/>
          <w:i/>
          <w:color w:val="000000"/>
          <w:sz w:val="24"/>
          <w:szCs w:val="24"/>
          <w:u w:color="000000"/>
          <w:lang w:eastAsia="it-IT"/>
        </w:rPr>
        <w:t>a quo</w:t>
      </w:r>
      <w:r w:rsidRPr="0004152E">
        <w:rPr>
          <w:rFonts w:ascii="Times New Roman" w:eastAsia="Times New Roman" w:hAnsi="Times New Roman" w:cs="Times New Roman"/>
          <w:color w:val="000000"/>
          <w:sz w:val="24"/>
          <w:szCs w:val="24"/>
          <w:u w:color="000000"/>
          <w:lang w:eastAsia="it-IT"/>
        </w:rPr>
        <w:t xml:space="preserve"> è chiamato a decidere in ordine ad una domanda di rettificazione dell’attribuzione di sesso, da maschile a femminile, in assenza dell’intervento chirurgico di adeguamento dei caratteri sessuali; d’altra parte, la consulenza tecnica d’ufficio, acquisita nel corso del giudizio, ha affermato l’idoneità psicofisica della parte istante al cambiamento di genere;</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Times New Roman" w:hAnsi="Times New Roman" w:cs="Times New Roman"/>
          <w:color w:val="000000"/>
          <w:sz w:val="24"/>
          <w:szCs w:val="24"/>
          <w:u w:color="000000"/>
          <w:lang w:eastAsia="it-IT"/>
        </w:rPr>
      </w:pPr>
      <w:r w:rsidRPr="0004152E">
        <w:rPr>
          <w:rFonts w:ascii="Times New Roman" w:eastAsia="Times New Roman" w:hAnsi="Times New Roman" w:cs="Times New Roman"/>
          <w:color w:val="000000"/>
          <w:sz w:val="24"/>
          <w:szCs w:val="24"/>
          <w:u w:color="000000"/>
          <w:lang w:eastAsia="it-IT"/>
        </w:rPr>
        <w:t>che, dopo avere illustrato le recenti pronunce della Corte di cassazione (prima sezione civile, sentenza 20 luglio 2015, n. 15138) e di questa Corte (</w:t>
      </w:r>
      <w:hyperlink r:id="rId10" w:history="1">
        <w:r w:rsidRPr="0004152E">
          <w:rPr>
            <w:rFonts w:ascii="Times New Roman" w:eastAsia="Times New Roman" w:hAnsi="Times New Roman" w:cs="Times New Roman"/>
            <w:color w:val="0000FF"/>
            <w:sz w:val="24"/>
            <w:szCs w:val="24"/>
            <w:u w:val="single" w:color="000000"/>
            <w:lang w:eastAsia="it-IT"/>
          </w:rPr>
          <w:t>sentenza n. 221 del 2015</w:t>
        </w:r>
      </w:hyperlink>
      <w:r w:rsidRPr="0004152E">
        <w:rPr>
          <w:rFonts w:ascii="Times New Roman" w:eastAsia="Times New Roman" w:hAnsi="Times New Roman" w:cs="Times New Roman"/>
          <w:color w:val="000000"/>
          <w:sz w:val="24"/>
          <w:szCs w:val="24"/>
          <w:u w:color="000000"/>
          <w:lang w:eastAsia="it-IT"/>
        </w:rPr>
        <w:t>), con le quali è stata riconosciuta al singolo la scelta delle modalità attraverso le quali realizzare il proprio percorso di transizione, il rimettente deduce che nelle stesse sarebbe mancata la dovuta attenzione verso l’aspetto relazionale, essendo stata trascurata, sia la valutazione dell’entità delle modificazioni ritenute necessarie, sia la rilevanza degli effetti di tale impostazione sulla collettività;</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Times New Roman" w:hAnsi="Times New Roman" w:cs="Times New Roman"/>
          <w:color w:val="000000"/>
          <w:sz w:val="24"/>
          <w:szCs w:val="24"/>
          <w:u w:color="000000"/>
          <w:lang w:eastAsia="it-IT"/>
        </w:rPr>
      </w:pPr>
      <w:r w:rsidRPr="0004152E">
        <w:rPr>
          <w:rFonts w:ascii="Times New Roman" w:eastAsia="Times New Roman" w:hAnsi="Times New Roman" w:cs="Times New Roman"/>
          <w:color w:val="000000"/>
          <w:sz w:val="24"/>
          <w:szCs w:val="24"/>
          <w:u w:color="000000"/>
          <w:lang w:eastAsia="it-IT"/>
        </w:rPr>
        <w:t xml:space="preserve">che, ad avviso del giudice </w:t>
      </w:r>
      <w:r w:rsidRPr="0004152E">
        <w:rPr>
          <w:rFonts w:ascii="Times New Roman" w:eastAsia="Times New Roman" w:hAnsi="Times New Roman" w:cs="Times New Roman"/>
          <w:i/>
          <w:color w:val="000000"/>
          <w:sz w:val="24"/>
          <w:szCs w:val="24"/>
          <w:u w:color="000000"/>
          <w:lang w:eastAsia="it-IT"/>
        </w:rPr>
        <w:t>a quo</w:t>
      </w:r>
      <w:r w:rsidRPr="0004152E">
        <w:rPr>
          <w:rFonts w:ascii="Times New Roman" w:eastAsia="Times New Roman" w:hAnsi="Times New Roman" w:cs="Times New Roman"/>
          <w:color w:val="000000"/>
          <w:sz w:val="24"/>
          <w:szCs w:val="24"/>
          <w:u w:color="000000"/>
          <w:lang w:eastAsia="it-IT"/>
        </w:rPr>
        <w:t>, laddove anche nel trattamento ormonale fosse ravvisata una costrizione della propria identità personale, o comunque una violazione del diritto alla salute, si arriverebbe all’accoglimento di qualsiasi istanza di rettifica, ancorché sorretta dal solo elemento volontaristico, ossia dall’esigenza di adeguare la propria identità fisica a quella psichica, a prescindere da qualsiasi intervento;</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Times New Roman" w:hAnsi="Times New Roman" w:cs="Times New Roman"/>
          <w:color w:val="000000"/>
          <w:sz w:val="24"/>
          <w:szCs w:val="24"/>
          <w:u w:color="000000"/>
          <w:lang w:eastAsia="it-IT"/>
        </w:rPr>
      </w:pPr>
      <w:r w:rsidRPr="0004152E">
        <w:rPr>
          <w:rFonts w:ascii="Times New Roman" w:eastAsia="Times New Roman" w:hAnsi="Times New Roman" w:cs="Times New Roman"/>
          <w:color w:val="000000"/>
          <w:sz w:val="24"/>
          <w:szCs w:val="24"/>
          <w:u w:color="000000"/>
          <w:lang w:eastAsia="it-IT"/>
        </w:rPr>
        <w:t xml:space="preserve">che, tuttavia, il dato normativo continua a richiedere l’intervenuto mutamento dei caratteri sessuali, poiché l’inciso «quando necessario», contenuto nell’art. 31, comma 4, del decreto legislativo 1° settembre 2011, n. 150 (Disposizioni complementari al codice di procedura civile in materia di riduzione e semplificazione dei procedimenti civili di cognizione, ai sensi dell’articolo 54 della legge 18 giugno 2009, n. 69), sarebbe riferibile ai casi nei quali il mutamento sia l’effetto di malformazioni congenite, ovvero di trattamenti chirurgici eseguiti all’estero; </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Times New Roman" w:hAnsi="Times New Roman" w:cs="Times New Roman"/>
          <w:color w:val="000000"/>
          <w:sz w:val="24"/>
          <w:szCs w:val="24"/>
          <w:u w:color="000000"/>
          <w:lang w:eastAsia="it-IT"/>
        </w:rPr>
      </w:pPr>
      <w:r w:rsidRPr="0004152E">
        <w:rPr>
          <w:rFonts w:ascii="Times New Roman" w:eastAsia="Times New Roman" w:hAnsi="Times New Roman" w:cs="Times New Roman"/>
          <w:color w:val="000000"/>
          <w:sz w:val="24"/>
          <w:szCs w:val="24"/>
          <w:u w:color="000000"/>
          <w:lang w:eastAsia="it-IT"/>
        </w:rPr>
        <w:t>che, a suo avviso, la domanda di rettificazione dovrebbe, quindi, essere respinta laddove essa si fondi esclusivamente «su un desiderio irrefrenabile del soggetto agente, senza che questi appaia conforme, anche esteticamente ed esteriormente, al sesso richiesto»; viceversa, l’accezione del diritto all’identità di genere sostenuta dalle due pronunce in esame varrebbe a configurare l’identità sessuale come oggetto di una mera scelta soggettiva dell’interessato, di cui la consulenza medica si limiterebbe ad accertare la serietà ed univocità;</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Times New Roman" w:hAnsi="Times New Roman" w:cs="Times New Roman"/>
          <w:color w:val="000000"/>
          <w:sz w:val="24"/>
          <w:szCs w:val="24"/>
          <w:u w:color="000000"/>
          <w:lang w:eastAsia="it-IT"/>
        </w:rPr>
      </w:pPr>
      <w:r w:rsidRPr="0004152E">
        <w:rPr>
          <w:rFonts w:ascii="Times New Roman" w:eastAsia="Times New Roman" w:hAnsi="Times New Roman" w:cs="Times New Roman"/>
          <w:color w:val="000000"/>
          <w:sz w:val="24"/>
          <w:szCs w:val="24"/>
          <w:u w:color="000000"/>
          <w:lang w:eastAsia="it-IT"/>
        </w:rPr>
        <w:lastRenderedPageBreak/>
        <w:t>che, d’altra parte, tale impostazione trascurerebbe la considerazione dei rapporti interpersonali; viceversa, il principio personalista andrebbe declinato anche nelle relazioni sociali, attraverso un bilanciamento dell’interesse del singolo con l’interesse pubblico alla certezza dei rapporti giuridici;</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Times New Roman" w:hAnsi="Times New Roman" w:cs="Times New Roman"/>
          <w:color w:val="000000"/>
          <w:sz w:val="24"/>
          <w:szCs w:val="24"/>
          <w:u w:color="000000"/>
          <w:lang w:eastAsia="it-IT"/>
        </w:rPr>
      </w:pPr>
      <w:r w:rsidRPr="0004152E">
        <w:rPr>
          <w:rFonts w:ascii="Times New Roman" w:eastAsia="Times New Roman" w:hAnsi="Times New Roman" w:cs="Times New Roman"/>
          <w:color w:val="000000"/>
          <w:sz w:val="24"/>
          <w:szCs w:val="24"/>
          <w:u w:color="000000"/>
          <w:lang w:eastAsia="it-IT"/>
        </w:rPr>
        <w:t xml:space="preserve">che, sotto questo profilo, si osserva che la vita di relazione conterrebbe numerose occasioni di contatto, nelle quali rilevano anche i caratteri sessuali primari della persona; in ciascuna di esse ricorrerebbe l’esigenza di stabilirne con sicurezza il «genere», al fine di evitare che alcuno, </w:t>
      </w:r>
      <w:r w:rsidRPr="0004152E">
        <w:rPr>
          <w:rFonts w:ascii="Times New Roman" w:eastAsia="Times New Roman" w:hAnsi="Times New Roman" w:cs="Times New Roman"/>
          <w:i/>
          <w:color w:val="000000"/>
          <w:sz w:val="24"/>
          <w:szCs w:val="24"/>
          <w:u w:color="000000"/>
          <w:lang w:eastAsia="it-IT"/>
        </w:rPr>
        <w:t>a fortiori</w:t>
      </w:r>
      <w:r w:rsidRPr="0004152E">
        <w:rPr>
          <w:rFonts w:ascii="Times New Roman" w:eastAsia="Times New Roman" w:hAnsi="Times New Roman" w:cs="Times New Roman"/>
          <w:color w:val="000000"/>
          <w:sz w:val="24"/>
          <w:szCs w:val="24"/>
          <w:u w:color="000000"/>
          <w:lang w:eastAsia="it-IT"/>
        </w:rPr>
        <w:t xml:space="preserve"> se minorenne, possa essere disorientato in ordine all’identità di genere del «mutato di sesso»;</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Times New Roman" w:hAnsi="Times New Roman" w:cs="Times New Roman"/>
          <w:color w:val="000000"/>
          <w:sz w:val="24"/>
          <w:szCs w:val="24"/>
          <w:u w:color="000000"/>
          <w:lang w:eastAsia="it-IT"/>
        </w:rPr>
      </w:pPr>
      <w:r w:rsidRPr="0004152E">
        <w:rPr>
          <w:rFonts w:ascii="Times New Roman" w:eastAsia="Times New Roman" w:hAnsi="Times New Roman" w:cs="Times New Roman"/>
          <w:color w:val="000000"/>
          <w:sz w:val="24"/>
          <w:szCs w:val="24"/>
          <w:u w:color="000000"/>
          <w:lang w:eastAsia="it-IT"/>
        </w:rPr>
        <w:t xml:space="preserve">che, viceversa, laddove l’elemento documentale prevalesse su quello fisico, la società non sarebbe più fondata sul «duopolio uomo/donna», ma su un numero indeterminato di generi; si verificherebbe una «promiscuità fondata sul dato cartolare», in danno della maggioranza dei cittadini, la quale, essendo ancorata ad altri valori, sarebbe costretta «ad elaborare regole di comportamento certamente molto lontane dalla tradizione secolare»; </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Times New Roman" w:hAnsi="Times New Roman" w:cs="Times New Roman"/>
          <w:color w:val="000000"/>
          <w:sz w:val="24"/>
          <w:szCs w:val="24"/>
          <w:u w:color="000000"/>
          <w:lang w:eastAsia="it-IT"/>
        </w:rPr>
      </w:pPr>
      <w:r w:rsidRPr="0004152E">
        <w:rPr>
          <w:rFonts w:ascii="Times New Roman" w:eastAsia="Times New Roman" w:hAnsi="Times New Roman" w:cs="Times New Roman"/>
          <w:color w:val="000000"/>
          <w:sz w:val="24"/>
          <w:szCs w:val="24"/>
          <w:u w:color="000000"/>
          <w:lang w:eastAsia="it-IT"/>
        </w:rPr>
        <w:t>che, pertanto, ad avviso del rimettente, sarebbe insufficiente il mutamento dei caratteri secondari, dovendosi attribuire rilievo anche ai caratteri sessuali primari; la scelta meramente personalistica del proprio orientamento sessuale costituirebbe un aspetto sicuramente degno di considerazione, ma dovrebbe essere valutata alla luce di regole di analogo rilievo costituzionale, che devono essere bilanciate con criteri di ragionevolezza e proporzionalità;</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Times New Roman" w:hAnsi="Times New Roman" w:cs="Times New Roman"/>
          <w:color w:val="000000"/>
          <w:sz w:val="24"/>
          <w:szCs w:val="24"/>
          <w:u w:color="000000"/>
          <w:lang w:eastAsia="it-IT"/>
        </w:rPr>
      </w:pPr>
      <w:r w:rsidRPr="0004152E">
        <w:rPr>
          <w:rFonts w:ascii="Times New Roman" w:eastAsia="Times New Roman" w:hAnsi="Times New Roman" w:cs="Times New Roman"/>
          <w:color w:val="000000"/>
          <w:sz w:val="24"/>
          <w:szCs w:val="24"/>
          <w:u w:color="000000"/>
          <w:lang w:eastAsia="it-IT"/>
        </w:rPr>
        <w:t>che si porrebbe un problema di tutela delle maggioranze ed una questione di parità di trattamento «al contrario»; si dovrebbe, infatti, rendere compatibile la situazione di coloro che abbiano ottenuto la rettifica anagrafica senza intervento chirurgico con il diritto degli altri consociati a ricevere servizi differenziati in ragione della propria appartenenza ad un sesso;</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Times New Roman" w:hAnsi="Times New Roman" w:cs="Times New Roman"/>
          <w:color w:val="000000"/>
          <w:sz w:val="24"/>
          <w:szCs w:val="24"/>
          <w:u w:color="000000"/>
          <w:lang w:eastAsia="it-IT"/>
        </w:rPr>
      </w:pPr>
      <w:r w:rsidRPr="0004152E">
        <w:rPr>
          <w:rFonts w:ascii="Times New Roman" w:eastAsia="Times New Roman" w:hAnsi="Times New Roman" w:cs="Times New Roman"/>
          <w:color w:val="000000"/>
          <w:sz w:val="24"/>
          <w:szCs w:val="24"/>
          <w:u w:color="000000"/>
          <w:lang w:eastAsia="it-IT"/>
        </w:rPr>
        <w:t>che, ad avviso del rimettente, sarebbe privo di fondamento costituzionale l’adeguamento che la società sarebbe chiamata a compiere al fine di consentire l’integrale esplicazione del diritto in esame;</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Times New Roman" w:hAnsi="Times New Roman" w:cs="Times New Roman"/>
          <w:color w:val="000000"/>
          <w:sz w:val="24"/>
          <w:szCs w:val="24"/>
          <w:u w:color="000000"/>
          <w:lang w:eastAsia="it-IT"/>
        </w:rPr>
      </w:pPr>
      <w:r w:rsidRPr="0004152E">
        <w:rPr>
          <w:rFonts w:ascii="Times New Roman" w:eastAsia="Times New Roman" w:hAnsi="Times New Roman" w:cs="Times New Roman"/>
          <w:color w:val="000000"/>
          <w:sz w:val="24"/>
          <w:szCs w:val="24"/>
          <w:u w:color="000000"/>
          <w:lang w:eastAsia="it-IT"/>
        </w:rPr>
        <w:t xml:space="preserve">che, inoltre, nel caso oggetto del giudizio </w:t>
      </w:r>
      <w:r w:rsidRPr="0004152E">
        <w:rPr>
          <w:rFonts w:ascii="Times New Roman" w:eastAsia="Times New Roman" w:hAnsi="Times New Roman" w:cs="Times New Roman"/>
          <w:i/>
          <w:color w:val="000000"/>
          <w:sz w:val="24"/>
          <w:szCs w:val="24"/>
          <w:u w:color="000000"/>
          <w:lang w:eastAsia="it-IT"/>
        </w:rPr>
        <w:t>a quo</w:t>
      </w:r>
      <w:r w:rsidRPr="0004152E">
        <w:rPr>
          <w:rFonts w:ascii="Times New Roman" w:eastAsia="Times New Roman" w:hAnsi="Times New Roman" w:cs="Times New Roman"/>
          <w:color w:val="000000"/>
          <w:sz w:val="24"/>
          <w:szCs w:val="24"/>
          <w:u w:color="000000"/>
          <w:lang w:eastAsia="it-IT"/>
        </w:rPr>
        <w:t>, la consulenza tecnica d’ufficio attesterebbe un’«idoneità alla prosecuzione dell’</w:t>
      </w:r>
      <w:r w:rsidRPr="0004152E">
        <w:rPr>
          <w:rFonts w:ascii="Times New Roman" w:eastAsia="Times New Roman" w:hAnsi="Times New Roman" w:cs="Times New Roman"/>
          <w:i/>
          <w:color w:val="000000"/>
          <w:sz w:val="24"/>
          <w:szCs w:val="24"/>
          <w:u w:color="000000"/>
          <w:lang w:eastAsia="it-IT"/>
        </w:rPr>
        <w:t xml:space="preserve">iter </w:t>
      </w:r>
      <w:r w:rsidRPr="0004152E">
        <w:rPr>
          <w:rFonts w:ascii="Times New Roman" w:eastAsia="Times New Roman" w:hAnsi="Times New Roman" w:cs="Times New Roman"/>
          <w:color w:val="000000"/>
          <w:sz w:val="24"/>
          <w:szCs w:val="24"/>
          <w:u w:color="000000"/>
          <w:lang w:eastAsia="it-IT"/>
        </w:rPr>
        <w:t xml:space="preserve">transizionale», ma non la sua definitiva maturazione; si avrebbe, infatti, la percezione autonoma e soggettiva della condizione femminile, ma non già quella obiettiva, da parte della collettività; tale situazione non sarebbe indicativa di un definitivo ed irreversibile cambiamento di genere ma, anzi, porterebbe al riconoscimento del </w:t>
      </w:r>
      <w:r w:rsidRPr="0004152E">
        <w:rPr>
          <w:rFonts w:ascii="Times New Roman" w:eastAsia="Times New Roman" w:hAnsi="Times New Roman" w:cs="Times New Roman"/>
          <w:i/>
          <w:color w:val="000000"/>
          <w:sz w:val="24"/>
          <w:szCs w:val="24"/>
          <w:u w:color="000000"/>
          <w:lang w:eastAsia="it-IT"/>
        </w:rPr>
        <w:t>transgender</w:t>
      </w:r>
      <w:r w:rsidRPr="0004152E">
        <w:rPr>
          <w:rFonts w:ascii="Times New Roman" w:eastAsia="Times New Roman" w:hAnsi="Times New Roman" w:cs="Times New Roman"/>
          <w:color w:val="000000"/>
          <w:sz w:val="24"/>
          <w:szCs w:val="24"/>
          <w:u w:color="000000"/>
          <w:lang w:eastAsia="it-IT"/>
        </w:rPr>
        <w:t xml:space="preserve"> come </w:t>
      </w:r>
      <w:proofErr w:type="spellStart"/>
      <w:r w:rsidRPr="0004152E">
        <w:rPr>
          <w:rFonts w:ascii="Times New Roman" w:eastAsia="Times New Roman" w:hAnsi="Times New Roman" w:cs="Times New Roman"/>
          <w:i/>
          <w:color w:val="000000"/>
          <w:sz w:val="24"/>
          <w:szCs w:val="24"/>
          <w:u w:color="000000"/>
          <w:lang w:eastAsia="it-IT"/>
        </w:rPr>
        <w:t>tertium</w:t>
      </w:r>
      <w:proofErr w:type="spellEnd"/>
      <w:r w:rsidRPr="0004152E">
        <w:rPr>
          <w:rFonts w:ascii="Times New Roman" w:eastAsia="Times New Roman" w:hAnsi="Times New Roman" w:cs="Times New Roman"/>
          <w:i/>
          <w:color w:val="000000"/>
          <w:sz w:val="24"/>
          <w:szCs w:val="24"/>
          <w:u w:color="000000"/>
          <w:lang w:eastAsia="it-IT"/>
        </w:rPr>
        <w:t xml:space="preserve"> </w:t>
      </w:r>
      <w:proofErr w:type="spellStart"/>
      <w:r w:rsidRPr="0004152E">
        <w:rPr>
          <w:rFonts w:ascii="Times New Roman" w:eastAsia="Times New Roman" w:hAnsi="Times New Roman" w:cs="Times New Roman"/>
          <w:i/>
          <w:color w:val="000000"/>
          <w:sz w:val="24"/>
          <w:szCs w:val="24"/>
          <w:u w:color="000000"/>
          <w:lang w:eastAsia="it-IT"/>
        </w:rPr>
        <w:t>genus</w:t>
      </w:r>
      <w:proofErr w:type="spellEnd"/>
      <w:r w:rsidRPr="0004152E">
        <w:rPr>
          <w:rFonts w:ascii="Times New Roman" w:eastAsia="Times New Roman" w:hAnsi="Times New Roman" w:cs="Times New Roman"/>
          <w:i/>
          <w:color w:val="000000"/>
          <w:sz w:val="24"/>
          <w:szCs w:val="24"/>
          <w:u w:color="000000"/>
          <w:lang w:eastAsia="it-IT"/>
        </w:rPr>
        <w:t>,</w:t>
      </w:r>
      <w:r w:rsidRPr="0004152E">
        <w:rPr>
          <w:rFonts w:ascii="Times New Roman" w:eastAsia="Times New Roman" w:hAnsi="Times New Roman" w:cs="Times New Roman"/>
          <w:color w:val="000000"/>
          <w:sz w:val="24"/>
          <w:szCs w:val="24"/>
          <w:u w:color="000000"/>
          <w:lang w:eastAsia="it-IT"/>
        </w:rPr>
        <w:t xml:space="preserve"> rispetto al quale verrebbero in rilievo le sole caratteristiche psichiche del soggetto, restando, viceversa, molto sfumata l’identità sessuale secondaria;</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Times New Roman" w:hAnsi="Times New Roman" w:cs="Times New Roman"/>
          <w:color w:val="000000"/>
          <w:sz w:val="24"/>
          <w:szCs w:val="24"/>
          <w:u w:color="000000"/>
          <w:lang w:eastAsia="it-IT"/>
        </w:rPr>
      </w:pPr>
      <w:r w:rsidRPr="0004152E">
        <w:rPr>
          <w:rFonts w:ascii="Times New Roman" w:eastAsia="Times New Roman" w:hAnsi="Times New Roman" w:cs="Times New Roman"/>
          <w:color w:val="000000"/>
          <w:sz w:val="24"/>
          <w:szCs w:val="24"/>
          <w:u w:color="000000"/>
          <w:lang w:eastAsia="it-IT"/>
        </w:rPr>
        <w:lastRenderedPageBreak/>
        <w:t>che viceversa, laddove si escludesse la rilevanza dei soli aspetti psicologici, ovvero del trattamento ormonale, il test sui caratteri sessuali secondari non sarebbe così evanescente e, pertanto, inidoneo a dimostrare la definitiva trasmigrazione all’altro genere;</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Times New Roman" w:hAnsi="Times New Roman" w:cs="Times New Roman"/>
          <w:color w:val="000000"/>
          <w:sz w:val="24"/>
          <w:szCs w:val="24"/>
          <w:u w:color="000000"/>
          <w:lang w:eastAsia="it-IT"/>
        </w:rPr>
      </w:pPr>
      <w:r w:rsidRPr="0004152E">
        <w:rPr>
          <w:rFonts w:ascii="Times New Roman" w:eastAsia="Times New Roman" w:hAnsi="Times New Roman" w:cs="Times New Roman"/>
          <w:color w:val="000000"/>
          <w:sz w:val="24"/>
          <w:szCs w:val="24"/>
          <w:u w:color="000000"/>
          <w:lang w:eastAsia="it-IT"/>
        </w:rPr>
        <w:t>che nel giudizio è intervenuto il Presidente del Consiglio dei ministri, rappresentato e difeso dall’Avvocatura generale dello Stato, chiedendo che la questione sia dichiarata inammissibile o, comunque, infondata.</w:t>
      </w:r>
    </w:p>
    <w:p w:rsidR="0004152E" w:rsidRPr="0004152E" w:rsidRDefault="0004152E" w:rsidP="0004152E">
      <w:pPr>
        <w:widowControl w:val="0"/>
        <w:adjustRightInd w:val="0"/>
        <w:spacing w:line="360" w:lineRule="auto"/>
        <w:ind w:firstLine="567"/>
        <w:rPr>
          <w:rFonts w:ascii="Times New Roman" w:eastAsia="Times New Roman" w:hAnsi="Times New Roman"/>
          <w:sz w:val="24"/>
          <w:szCs w:val="24"/>
          <w:lang w:eastAsia="it-IT"/>
        </w:rPr>
      </w:pPr>
      <w:r w:rsidRPr="0004152E">
        <w:rPr>
          <w:rFonts w:ascii="Times New Roman" w:eastAsia="Times New Roman" w:hAnsi="Times New Roman"/>
          <w:i/>
          <w:sz w:val="24"/>
          <w:szCs w:val="24"/>
          <w:lang w:eastAsia="it-IT"/>
        </w:rPr>
        <w:t xml:space="preserve">Considerato </w:t>
      </w:r>
      <w:r w:rsidRPr="0004152E">
        <w:rPr>
          <w:rFonts w:ascii="Times New Roman" w:eastAsia="Times New Roman" w:hAnsi="Times New Roman"/>
          <w:sz w:val="24"/>
          <w:szCs w:val="24"/>
          <w:lang w:eastAsia="it-IT"/>
        </w:rPr>
        <w:t>che il Tribunale ordinario di Avezzano ha sollevato, in riferimento agli artt. 2 e 3 della Costituzione, questione di legittimità costituzionale dell’art. 1, comma 1, della legge 14 aprile 1982, n. 164 (Norme in materia di rettificazione di attribuzione di sesso);</w:t>
      </w:r>
    </w:p>
    <w:p w:rsidR="0004152E" w:rsidRPr="0004152E" w:rsidRDefault="0004152E" w:rsidP="0004152E">
      <w:pPr>
        <w:widowControl w:val="0"/>
        <w:adjustRightInd w:val="0"/>
        <w:spacing w:line="360" w:lineRule="auto"/>
        <w:ind w:firstLine="567"/>
        <w:rPr>
          <w:rFonts w:ascii="Times New Roman" w:eastAsia="Times New Roman" w:hAnsi="Times New Roman"/>
          <w:sz w:val="24"/>
          <w:szCs w:val="24"/>
          <w:lang w:eastAsia="it-IT"/>
        </w:rPr>
      </w:pPr>
      <w:r w:rsidRPr="0004152E">
        <w:rPr>
          <w:rFonts w:ascii="Times New Roman" w:eastAsia="Times New Roman" w:hAnsi="Times New Roman"/>
          <w:sz w:val="24"/>
          <w:szCs w:val="24"/>
          <w:lang w:eastAsia="it-IT"/>
        </w:rPr>
        <w:t xml:space="preserve">che il giudice </w:t>
      </w:r>
      <w:r w:rsidRPr="0004152E">
        <w:rPr>
          <w:rFonts w:ascii="Times New Roman" w:eastAsia="Times New Roman" w:hAnsi="Times New Roman"/>
          <w:i/>
          <w:sz w:val="24"/>
          <w:szCs w:val="24"/>
          <w:lang w:eastAsia="it-IT"/>
        </w:rPr>
        <w:t>a quo</w:t>
      </w:r>
      <w:r w:rsidRPr="0004152E">
        <w:rPr>
          <w:rFonts w:ascii="Times New Roman" w:eastAsia="Times New Roman" w:hAnsi="Times New Roman"/>
          <w:sz w:val="24"/>
          <w:szCs w:val="24"/>
          <w:lang w:eastAsia="it-IT"/>
        </w:rPr>
        <w:t xml:space="preserve"> ritiene che la disposizione censurata – nell’interpretazione adottata dalla </w:t>
      </w:r>
      <w:hyperlink r:id="rId11" w:history="1">
        <w:r w:rsidRPr="0004152E">
          <w:rPr>
            <w:rFonts w:ascii="Times New Roman" w:eastAsia="Times New Roman" w:hAnsi="Times New Roman"/>
            <w:color w:val="0000FF"/>
            <w:sz w:val="24"/>
            <w:szCs w:val="24"/>
            <w:u w:val="single"/>
            <w:lang w:eastAsia="it-IT"/>
          </w:rPr>
          <w:t>sentenza n. 221 del 2015</w:t>
        </w:r>
      </w:hyperlink>
      <w:r w:rsidRPr="0004152E">
        <w:rPr>
          <w:rFonts w:ascii="Times New Roman" w:eastAsia="Times New Roman" w:hAnsi="Times New Roman"/>
          <w:sz w:val="24"/>
          <w:szCs w:val="24"/>
          <w:lang w:eastAsia="it-IT"/>
        </w:rPr>
        <w:t xml:space="preserve"> di questa Corte e da quella della Corte di cassazione, sezione prima civile, 20 luglio 2015, n. 15138 – contrasti con gli artt. 2 e 3 </w:t>
      </w:r>
      <w:proofErr w:type="spellStart"/>
      <w:r w:rsidRPr="0004152E">
        <w:rPr>
          <w:rFonts w:ascii="Times New Roman" w:eastAsia="Times New Roman" w:hAnsi="Times New Roman"/>
          <w:sz w:val="24"/>
          <w:szCs w:val="24"/>
          <w:lang w:eastAsia="it-IT"/>
        </w:rPr>
        <w:t>Cost</w:t>
      </w:r>
      <w:proofErr w:type="spellEnd"/>
      <w:r w:rsidRPr="0004152E">
        <w:rPr>
          <w:rFonts w:ascii="Times New Roman" w:eastAsia="Times New Roman" w:hAnsi="Times New Roman"/>
          <w:sz w:val="24"/>
          <w:szCs w:val="24"/>
          <w:lang w:eastAsia="it-IT"/>
        </w:rPr>
        <w:t>., perché il riconoscimento del diritto alla rettifica dell’attribuzione di sesso, anche in assenza di intervento chirurgico, finirebbe per prevalere sul diritto della gran parte dei consociati a conservare il pieno «duopolio uomo/donna» ed implicherebbe che la società debba adeguarsi all’estrinsecazione delle sue conseguenze anche verso minori, lavoratori, istituzioni, imponendo loro un mutamento dei tradizionali valori, comunemente accettati;</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Times New Roman" w:hAnsi="Times New Roman" w:cs="Times New Roman"/>
          <w:color w:val="000000"/>
          <w:sz w:val="24"/>
          <w:szCs w:val="24"/>
          <w:u w:color="000000"/>
          <w:lang w:eastAsia="it-IT"/>
        </w:rPr>
      </w:pPr>
      <w:r w:rsidRPr="0004152E">
        <w:rPr>
          <w:rFonts w:ascii="Times New Roman" w:eastAsia="Calibri" w:hAnsi="Times New Roman" w:cs="Calibri"/>
          <w:color w:val="000000"/>
          <w:sz w:val="24"/>
          <w:szCs w:val="24"/>
          <w:u w:color="000000"/>
          <w:lang w:eastAsia="it-IT"/>
        </w:rPr>
        <w:t xml:space="preserve">che il </w:t>
      </w:r>
      <w:r w:rsidRPr="0004152E">
        <w:rPr>
          <w:rFonts w:ascii="Times New Roman" w:eastAsia="Times New Roman" w:hAnsi="Times New Roman" w:cs="Times New Roman"/>
          <w:color w:val="000000"/>
          <w:sz w:val="24"/>
          <w:szCs w:val="24"/>
          <w:u w:color="000000"/>
          <w:lang w:eastAsia="it-IT"/>
        </w:rPr>
        <w:t xml:space="preserve">giudice </w:t>
      </w:r>
      <w:r w:rsidRPr="0004152E">
        <w:rPr>
          <w:rFonts w:ascii="Times New Roman" w:eastAsia="Times New Roman" w:hAnsi="Times New Roman" w:cs="Times New Roman"/>
          <w:i/>
          <w:color w:val="000000"/>
          <w:sz w:val="24"/>
          <w:szCs w:val="24"/>
          <w:u w:color="000000"/>
          <w:lang w:eastAsia="it-IT"/>
        </w:rPr>
        <w:t>a quo</w:t>
      </w:r>
      <w:r w:rsidRPr="0004152E">
        <w:rPr>
          <w:rFonts w:ascii="Times New Roman" w:eastAsia="Times New Roman" w:hAnsi="Times New Roman" w:cs="Times New Roman"/>
          <w:color w:val="000000"/>
          <w:sz w:val="24"/>
          <w:szCs w:val="24"/>
          <w:u w:color="000000"/>
          <w:lang w:eastAsia="it-IT"/>
        </w:rPr>
        <w:t xml:space="preserve"> ritiene che nella scelta ermeneutica compiuta nelle due pronunce in esame sia mancata la dovuta considerazione dei suoi effetti sulla collettività; egli paventa il rischio che, nonostante il dato normativo continui a richiedere l’intervenuto mutamento dei caratteri sessuali ai fini della rettifica anagrafica, questa linea interpretativa porti ad accogliere qualsiasi istanza in tal senso, purché sorretta dal solo elemento volontaristico, a prescindere da ogni intervento;</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Calibri" w:hAnsi="Times New Roman" w:cs="Calibri"/>
          <w:sz w:val="24"/>
          <w:szCs w:val="24"/>
          <w:u w:color="000000"/>
          <w:lang w:eastAsia="it-IT"/>
        </w:rPr>
      </w:pPr>
      <w:r w:rsidRPr="0004152E">
        <w:rPr>
          <w:rFonts w:ascii="Times New Roman" w:eastAsia="Times New Roman" w:hAnsi="Times New Roman" w:cs="Times New Roman"/>
          <w:color w:val="000000"/>
          <w:sz w:val="24"/>
          <w:szCs w:val="24"/>
          <w:u w:color="000000"/>
          <w:lang w:eastAsia="it-IT"/>
        </w:rPr>
        <w:t xml:space="preserve">che, tuttavia, l’analisi e le osservazioni del giudice </w:t>
      </w:r>
      <w:r w:rsidRPr="0004152E">
        <w:rPr>
          <w:rFonts w:ascii="Times New Roman" w:eastAsia="Times New Roman" w:hAnsi="Times New Roman" w:cs="Times New Roman"/>
          <w:i/>
          <w:color w:val="000000"/>
          <w:sz w:val="24"/>
          <w:szCs w:val="24"/>
          <w:u w:color="000000"/>
          <w:lang w:eastAsia="it-IT"/>
        </w:rPr>
        <w:t>a quo</w:t>
      </w:r>
      <w:r w:rsidRPr="0004152E">
        <w:rPr>
          <w:rFonts w:ascii="Times New Roman" w:eastAsia="Times New Roman" w:hAnsi="Times New Roman" w:cs="Times New Roman"/>
          <w:color w:val="000000"/>
          <w:sz w:val="24"/>
          <w:szCs w:val="24"/>
          <w:u w:color="000000"/>
          <w:lang w:eastAsia="it-IT"/>
        </w:rPr>
        <w:t xml:space="preserve"> non tengono adeguatamente conto dei principi affermati dalle decisioni richiamate, le quali hanno indicato </w:t>
      </w:r>
      <w:r w:rsidRPr="0004152E">
        <w:rPr>
          <w:rFonts w:ascii="Times New Roman" w:eastAsia="Calibri" w:hAnsi="Times New Roman" w:cs="Calibri"/>
          <w:sz w:val="24"/>
          <w:szCs w:val="24"/>
          <w:u w:color="000000"/>
          <w:lang w:eastAsia="it-IT"/>
        </w:rPr>
        <w:t xml:space="preserve">un’interpretazione della disposizione censurata, rispettosa dei valori costituzionali e posta </w:t>
      </w:r>
      <w:r w:rsidRPr="0004152E">
        <w:rPr>
          <w:rFonts w:ascii="Times New Roman" w:eastAsia="Calibri" w:hAnsi="Times New Roman" w:cs="Times New Roman"/>
          <w:sz w:val="24"/>
          <w:szCs w:val="24"/>
          <w:u w:color="000000"/>
          <w:lang w:eastAsia="it-IT"/>
        </w:rPr>
        <w:t>«</w:t>
      </w:r>
      <w:r w:rsidRPr="0004152E">
        <w:rPr>
          <w:rFonts w:ascii="Times New Roman" w:eastAsia="Calibri" w:hAnsi="Times New Roman" w:cs="Calibri"/>
          <w:sz w:val="24"/>
          <w:szCs w:val="24"/>
          <w:u w:color="000000"/>
          <w:lang w:eastAsia="it-IT"/>
        </w:rPr>
        <w:t>nell’alveo di una civiltà giuridica in evoluzione, sempre più attenta ai valori, di libertà e dignità, della persona umana, che ricerca e tutela anche nelle situazioni minoritarie ed anomale</w:t>
      </w:r>
      <w:r w:rsidRPr="0004152E">
        <w:rPr>
          <w:rFonts w:ascii="Times New Roman" w:eastAsia="Calibri" w:hAnsi="Times New Roman" w:cs="Times New Roman"/>
          <w:sz w:val="24"/>
          <w:szCs w:val="24"/>
          <w:u w:color="000000"/>
          <w:lang w:eastAsia="it-IT"/>
        </w:rPr>
        <w:t>»,</w:t>
      </w:r>
      <w:r w:rsidRPr="0004152E">
        <w:rPr>
          <w:rFonts w:ascii="Times New Roman" w:eastAsia="Calibri" w:hAnsi="Times New Roman" w:cs="Calibri"/>
          <w:sz w:val="24"/>
          <w:szCs w:val="24"/>
          <w:u w:color="000000"/>
          <w:lang w:eastAsia="it-IT"/>
        </w:rPr>
        <w:t xml:space="preserve"> come già affermato da questa Corte sin dalla </w:t>
      </w:r>
      <w:hyperlink r:id="rId12" w:history="1">
        <w:r w:rsidRPr="0004152E">
          <w:rPr>
            <w:rFonts w:ascii="Times New Roman" w:eastAsia="Calibri" w:hAnsi="Times New Roman" w:cs="Calibri"/>
            <w:color w:val="0000FF"/>
            <w:sz w:val="24"/>
            <w:szCs w:val="24"/>
            <w:u w:val="single" w:color="000000"/>
            <w:lang w:eastAsia="it-IT"/>
          </w:rPr>
          <w:t>sentenza n. 161 del 1985</w:t>
        </w:r>
      </w:hyperlink>
      <w:r w:rsidRPr="0004152E">
        <w:rPr>
          <w:rFonts w:ascii="Times New Roman" w:eastAsia="Calibri" w:hAnsi="Times New Roman" w:cs="Calibri"/>
          <w:sz w:val="24"/>
          <w:szCs w:val="24"/>
          <w:u w:color="000000"/>
          <w:lang w:eastAsia="it-IT"/>
        </w:rPr>
        <w:t>;</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Calibri" w:hAnsi="Times New Roman" w:cs="Calibri"/>
          <w:sz w:val="24"/>
          <w:szCs w:val="24"/>
          <w:u w:color="000000"/>
          <w:lang w:eastAsia="it-IT"/>
        </w:rPr>
      </w:pPr>
      <w:r w:rsidRPr="0004152E">
        <w:rPr>
          <w:rFonts w:ascii="Times New Roman" w:eastAsia="Calibri" w:hAnsi="Times New Roman" w:cs="Calibri"/>
          <w:sz w:val="24"/>
          <w:szCs w:val="24"/>
          <w:u w:color="000000"/>
          <w:lang w:eastAsia="it-IT"/>
        </w:rPr>
        <w:t>che, in particolare, la Corte di cassazione ha ritenuto non obbligatorio l’intervento chirurgico demolitorio o modificativo dei caratteri sessuali anatomici primari, affermando che  l’acquisizione di una nuova identità di genere, in quanto risultato di un processo individuale, non ne postula la necessità, purché la serietà ed univocità del percorso scelto e la compiutezza dell’approdo finale siano oggetto di accertamento tecnico in sede giudiziale;</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Calibri" w:hAnsi="Times New Roman" w:cs="Calibri"/>
          <w:sz w:val="24"/>
          <w:szCs w:val="24"/>
          <w:u w:color="000000"/>
          <w:lang w:eastAsia="it-IT"/>
        </w:rPr>
      </w:pPr>
      <w:r w:rsidRPr="0004152E">
        <w:rPr>
          <w:rFonts w:ascii="Times New Roman" w:eastAsia="Calibri" w:hAnsi="Times New Roman" w:cs="Calibri"/>
          <w:sz w:val="24"/>
          <w:szCs w:val="24"/>
          <w:u w:color="000000"/>
          <w:lang w:eastAsia="it-IT"/>
        </w:rPr>
        <w:lastRenderedPageBreak/>
        <w:t xml:space="preserve">che, nello stesso senso, la successiva </w:t>
      </w:r>
      <w:hyperlink r:id="rId13" w:history="1">
        <w:r w:rsidRPr="0004152E">
          <w:rPr>
            <w:rFonts w:ascii="Times New Roman" w:eastAsia="Calibri" w:hAnsi="Times New Roman" w:cs="Calibri"/>
            <w:color w:val="0000FF"/>
            <w:sz w:val="24"/>
            <w:szCs w:val="24"/>
            <w:u w:val="single" w:color="000000"/>
            <w:lang w:eastAsia="it-IT"/>
          </w:rPr>
          <w:t>sentenza n. 221 del 2015</w:t>
        </w:r>
      </w:hyperlink>
      <w:r w:rsidRPr="0004152E">
        <w:rPr>
          <w:rFonts w:ascii="Times New Roman" w:eastAsia="Calibri" w:hAnsi="Times New Roman" w:cs="Calibri"/>
          <w:sz w:val="24"/>
          <w:szCs w:val="24"/>
          <w:u w:color="000000"/>
          <w:lang w:eastAsia="it-IT"/>
        </w:rPr>
        <w:t xml:space="preserve"> di questa Corte ha affermato che un’interpretazione costituzionalmente adeguata della legge n. 164 del 1982 consenta di escludere la necessità del ricorso all’intervento chirurgico di </w:t>
      </w:r>
      <w:proofErr w:type="spellStart"/>
      <w:r w:rsidRPr="0004152E">
        <w:rPr>
          <w:rFonts w:ascii="Times New Roman" w:eastAsia="Calibri" w:hAnsi="Times New Roman" w:cs="Calibri"/>
          <w:sz w:val="24"/>
          <w:szCs w:val="24"/>
          <w:u w:color="000000"/>
          <w:lang w:eastAsia="it-IT"/>
        </w:rPr>
        <w:t>normoconformazione</w:t>
      </w:r>
      <w:proofErr w:type="spellEnd"/>
      <w:r w:rsidRPr="0004152E">
        <w:rPr>
          <w:rFonts w:ascii="Times New Roman" w:eastAsia="Calibri" w:hAnsi="Times New Roman" w:cs="Calibri"/>
          <w:sz w:val="24"/>
          <w:szCs w:val="24"/>
          <w:u w:color="000000"/>
          <w:lang w:eastAsia="it-IT"/>
        </w:rPr>
        <w:t>, ai fini della rettifica anagrafica dell’attribuzione di sesso;</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Calibri" w:hAnsi="Times New Roman" w:cs="Calibri"/>
          <w:sz w:val="24"/>
          <w:szCs w:val="24"/>
          <w:u w:color="000000"/>
          <w:lang w:eastAsia="it-IT"/>
        </w:rPr>
      </w:pPr>
      <w:r w:rsidRPr="0004152E">
        <w:rPr>
          <w:rFonts w:ascii="Times New Roman" w:eastAsia="Calibri" w:hAnsi="Times New Roman" w:cs="Calibri"/>
          <w:sz w:val="24"/>
          <w:szCs w:val="24"/>
          <w:u w:color="000000"/>
          <w:lang w:eastAsia="it-IT"/>
        </w:rPr>
        <w:t xml:space="preserve">che, in particolare, l’interpretazione </w:t>
      </w:r>
      <w:proofErr w:type="spellStart"/>
      <w:r w:rsidRPr="0004152E">
        <w:rPr>
          <w:rFonts w:ascii="Times New Roman" w:eastAsia="Calibri" w:hAnsi="Times New Roman" w:cs="Calibri"/>
          <w:sz w:val="24"/>
          <w:szCs w:val="24"/>
          <w:u w:color="000000"/>
          <w:lang w:eastAsia="it-IT"/>
        </w:rPr>
        <w:t>adeguatrice</w:t>
      </w:r>
      <w:proofErr w:type="spellEnd"/>
      <w:r w:rsidRPr="0004152E">
        <w:rPr>
          <w:rFonts w:ascii="Times New Roman" w:eastAsia="Calibri" w:hAnsi="Times New Roman" w:cs="Calibri"/>
          <w:sz w:val="24"/>
          <w:szCs w:val="24"/>
          <w:u w:color="000000"/>
          <w:lang w:eastAsia="it-IT"/>
        </w:rPr>
        <w:t xml:space="preserve"> della disposizione censurata, pur escludendo la necessità di modificazioni chirurgiche dei caratteri sessuali, ha mantenuto fermo il dato testuale dell’art. 1, comma 1, il quale prevede, comunque, le </w:t>
      </w:r>
      <w:r w:rsidRPr="0004152E">
        <w:rPr>
          <w:rFonts w:ascii="Times New Roman" w:eastAsia="Calibri" w:hAnsi="Times New Roman" w:cs="Times New Roman"/>
          <w:sz w:val="24"/>
          <w:szCs w:val="24"/>
          <w:u w:color="000000"/>
          <w:lang w:eastAsia="it-IT"/>
        </w:rPr>
        <w:t>«</w:t>
      </w:r>
      <w:r w:rsidRPr="0004152E">
        <w:rPr>
          <w:rFonts w:ascii="Times New Roman" w:eastAsia="Calibri" w:hAnsi="Times New Roman" w:cs="Calibri"/>
          <w:sz w:val="24"/>
          <w:szCs w:val="24"/>
          <w:u w:color="000000"/>
          <w:lang w:eastAsia="it-IT"/>
        </w:rPr>
        <w:t>intervenute modificazioni dei caratteri sessuali</w:t>
      </w:r>
      <w:r w:rsidRPr="0004152E">
        <w:rPr>
          <w:rFonts w:ascii="Times New Roman" w:eastAsia="Calibri" w:hAnsi="Times New Roman" w:cs="Times New Roman"/>
          <w:sz w:val="24"/>
          <w:szCs w:val="24"/>
          <w:u w:color="000000"/>
          <w:lang w:eastAsia="it-IT"/>
        </w:rPr>
        <w:t>»;</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Calibri" w:hAnsi="Times New Roman" w:cs="Calibri"/>
          <w:sz w:val="24"/>
          <w:szCs w:val="24"/>
          <w:u w:color="000000"/>
          <w:lang w:eastAsia="it-IT"/>
        </w:rPr>
      </w:pPr>
      <w:r w:rsidRPr="0004152E">
        <w:rPr>
          <w:rFonts w:ascii="Times New Roman" w:eastAsia="Calibri" w:hAnsi="Times New Roman" w:cs="Calibri"/>
          <w:sz w:val="24"/>
          <w:szCs w:val="24"/>
          <w:u w:color="000000"/>
          <w:lang w:eastAsia="it-IT"/>
        </w:rPr>
        <w:t>che, d’altra parte, tale pronuncia non ha sottovalutato, né tanto meno escluso, la necessità di un accertamento rigoroso non solo della serietà e univocità dell’intento, ma anche dell’intervenuta transizione dell’identità di genere, emersa nel percorso seguito dalla persona interessata, il quale corrobora e rafforza l’intento così manifestato;</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Calibri" w:hAnsi="Times New Roman" w:cs="Calibri"/>
          <w:sz w:val="24"/>
          <w:szCs w:val="24"/>
          <w:u w:color="000000"/>
          <w:lang w:eastAsia="it-IT"/>
        </w:rPr>
      </w:pPr>
      <w:r w:rsidRPr="0004152E">
        <w:rPr>
          <w:rFonts w:ascii="Times New Roman" w:eastAsia="Calibri" w:hAnsi="Times New Roman" w:cs="Calibri"/>
          <w:sz w:val="24"/>
          <w:szCs w:val="24"/>
          <w:u w:color="000000"/>
          <w:lang w:eastAsia="it-IT"/>
        </w:rPr>
        <w:t>che la linea interpretativa adottata nelle pronunce sopra richiamate mostra di tenere nella dovuta considerazione proprio le esigenze evidenziate dallo stesso rimettente, in particolare laddove si riconosce che nella legge n. 164 del 1982 la realizzazione del diritto del singolo al riconoscimento del proprio diritto all’identità personale, di cui è parte l’identità di genere, trova la sua realizzazione attraverso un procedimento giudiziale che garantisce, al contempo, sia il diritto del singolo individuo, sia quelle esigenze pubblicistiche di certezza delle relazioni giuridiche, sulle quali si fonda il rilievo dei registri anagrafici;</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Calibri" w:hAnsi="Times New Roman" w:cs="Calibri"/>
          <w:sz w:val="24"/>
          <w:szCs w:val="24"/>
          <w:u w:color="000000"/>
          <w:lang w:eastAsia="it-IT"/>
        </w:rPr>
      </w:pPr>
      <w:r w:rsidRPr="0004152E">
        <w:rPr>
          <w:rFonts w:ascii="Times New Roman" w:eastAsia="Calibri" w:hAnsi="Times New Roman" w:cs="Calibri"/>
          <w:sz w:val="24"/>
          <w:szCs w:val="24"/>
          <w:u w:color="000000"/>
          <w:lang w:eastAsia="it-IT"/>
        </w:rPr>
        <w:t xml:space="preserve">che, sebbene l’aspirazione del singolo alla corrispondenza del sesso attribuitogli nei registri anagrafici con quello soggettivamente percepito e “vissuto” costituisca espressione del diritto al riconoscimento dell’identità di genere, il ragionevole punto di equilibrio tra le molteplici istanze di garanzia </w:t>
      </w:r>
      <w:r w:rsidRPr="0004152E">
        <w:rPr>
          <w:rFonts w:ascii="Times New Roman" w:eastAsia="Calibri" w:hAnsi="Times New Roman" w:cs="Times New Roman"/>
          <w:sz w:val="24"/>
          <w:szCs w:val="24"/>
          <w:u w:color="000000"/>
          <w:lang w:eastAsia="it-IT"/>
        </w:rPr>
        <w:t>–</w:t>
      </w:r>
      <w:r w:rsidRPr="0004152E">
        <w:rPr>
          <w:rFonts w:ascii="Times New Roman" w:eastAsia="Calibri" w:hAnsi="Times New Roman" w:cs="Calibri"/>
          <w:sz w:val="24"/>
          <w:szCs w:val="24"/>
          <w:u w:color="000000"/>
          <w:lang w:eastAsia="it-IT"/>
        </w:rPr>
        <w:t xml:space="preserve"> in un quadro di </w:t>
      </w:r>
      <w:r w:rsidRPr="0004152E">
        <w:rPr>
          <w:rFonts w:ascii="Times New Roman" w:eastAsia="Calibri" w:hAnsi="Times New Roman" w:cs="Times New Roman"/>
          <w:sz w:val="24"/>
          <w:szCs w:val="24"/>
          <w:u w:color="000000"/>
          <w:lang w:eastAsia="it-IT"/>
        </w:rPr>
        <w:t>«</w:t>
      </w:r>
      <w:r w:rsidRPr="0004152E">
        <w:rPr>
          <w:rFonts w:ascii="Times New Roman" w:eastAsia="Calibri" w:hAnsi="Times New Roman" w:cs="Calibri"/>
          <w:sz w:val="24"/>
          <w:szCs w:val="24"/>
          <w:u w:color="000000"/>
          <w:lang w:eastAsia="it-IT"/>
        </w:rPr>
        <w:t>irriducibile varietà delle situazioni soggettive</w:t>
      </w:r>
      <w:r w:rsidRPr="0004152E">
        <w:rPr>
          <w:rFonts w:ascii="Times New Roman" w:eastAsia="Calibri" w:hAnsi="Times New Roman" w:cs="Times New Roman"/>
          <w:sz w:val="24"/>
          <w:szCs w:val="24"/>
          <w:u w:color="000000"/>
          <w:lang w:eastAsia="it-IT"/>
        </w:rPr>
        <w:t>»</w:t>
      </w:r>
      <w:r w:rsidRPr="0004152E">
        <w:rPr>
          <w:rFonts w:ascii="Times New Roman" w:eastAsia="Calibri" w:hAnsi="Times New Roman" w:cs="Calibri"/>
          <w:sz w:val="24"/>
          <w:szCs w:val="24"/>
          <w:u w:color="000000"/>
          <w:lang w:eastAsia="it-IT"/>
        </w:rPr>
        <w:t xml:space="preserve"> (</w:t>
      </w:r>
      <w:hyperlink r:id="rId14" w:history="1">
        <w:r w:rsidRPr="0004152E">
          <w:rPr>
            <w:rFonts w:ascii="Times New Roman" w:eastAsia="Calibri" w:hAnsi="Times New Roman" w:cs="Calibri"/>
            <w:color w:val="0000FF"/>
            <w:sz w:val="24"/>
            <w:szCs w:val="24"/>
            <w:u w:val="single" w:color="000000"/>
            <w:lang w:eastAsia="it-IT"/>
          </w:rPr>
          <w:t>sentenza n. 221 del 2015</w:t>
        </w:r>
      </w:hyperlink>
      <w:r w:rsidRPr="0004152E">
        <w:rPr>
          <w:rFonts w:ascii="Times New Roman" w:eastAsia="Calibri" w:hAnsi="Times New Roman" w:cs="Calibri"/>
          <w:sz w:val="24"/>
          <w:szCs w:val="24"/>
          <w:u w:color="000000"/>
          <w:lang w:eastAsia="it-IT"/>
        </w:rPr>
        <w:t xml:space="preserve">) </w:t>
      </w:r>
      <w:r w:rsidRPr="0004152E">
        <w:rPr>
          <w:rFonts w:ascii="Times New Roman" w:eastAsia="Calibri" w:hAnsi="Times New Roman" w:cs="Times New Roman"/>
          <w:sz w:val="24"/>
          <w:szCs w:val="24"/>
          <w:u w:color="000000"/>
          <w:lang w:eastAsia="it-IT"/>
        </w:rPr>
        <w:t>–</w:t>
      </w:r>
      <w:r w:rsidRPr="0004152E">
        <w:rPr>
          <w:rFonts w:ascii="Times New Roman" w:eastAsia="Calibri" w:hAnsi="Times New Roman" w:cs="Calibri"/>
          <w:sz w:val="24"/>
          <w:szCs w:val="24"/>
          <w:u w:color="000000"/>
          <w:lang w:eastAsia="it-IT"/>
        </w:rPr>
        <w:t xml:space="preserve"> è stato individuato affidando al giudice, nell’ambito di un giudizio cui partecipa anche il pubblico ministero, l’accertamento delle modalità attraverso le quali le modificazioni siano intervenute, tenendo conto di tutte le componenti, compresi i caratteri sessuali, che concorrono a determinare l’identità personale e di genere;</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Calibri" w:hAnsi="Times New Roman" w:cs="Calibri"/>
          <w:sz w:val="24"/>
          <w:szCs w:val="24"/>
          <w:u w:color="000000"/>
          <w:lang w:eastAsia="it-IT"/>
        </w:rPr>
      </w:pPr>
      <w:r w:rsidRPr="0004152E">
        <w:rPr>
          <w:rFonts w:ascii="Times New Roman" w:eastAsia="Calibri" w:hAnsi="Times New Roman" w:cs="Calibri"/>
          <w:sz w:val="24"/>
          <w:szCs w:val="24"/>
          <w:u w:color="000000"/>
          <w:lang w:eastAsia="it-IT"/>
        </w:rPr>
        <w:t>che, pertanto, risulta del tutto privo di fondamento l’assunto del rimettente circa la possibilità che, ai fini dell’accertamento della transizione, rivesta esclusivo o comunque prioritario rilievo il solo elemento volontaristico;</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Calibri" w:hAnsi="Times New Roman" w:cs="Calibri"/>
          <w:sz w:val="24"/>
          <w:szCs w:val="24"/>
          <w:u w:color="000000"/>
          <w:lang w:eastAsia="it-IT"/>
        </w:rPr>
      </w:pPr>
      <w:r w:rsidRPr="0004152E">
        <w:rPr>
          <w:rFonts w:ascii="Times New Roman" w:eastAsia="Calibri" w:hAnsi="Times New Roman" w:cs="Calibri"/>
          <w:sz w:val="24"/>
          <w:szCs w:val="24"/>
          <w:u w:color="000000"/>
          <w:lang w:eastAsia="it-IT"/>
        </w:rPr>
        <w:t xml:space="preserve">che, d’altra parte, va rilevato che la denunciata imposizione di un onere di adeguamento da parte della collettività non costituisce affatto una violazione dei doveri inderogabili di solidarietà, ma anzi ne riafferma la perdurante e generale valenza, la quale si manifesta proprio </w:t>
      </w:r>
      <w:r w:rsidRPr="0004152E">
        <w:rPr>
          <w:rFonts w:ascii="Times New Roman" w:eastAsia="Calibri" w:hAnsi="Times New Roman" w:cs="Calibri"/>
          <w:sz w:val="24"/>
          <w:szCs w:val="24"/>
          <w:u w:color="000000"/>
          <w:lang w:eastAsia="it-IT"/>
        </w:rPr>
        <w:lastRenderedPageBreak/>
        <w:t xml:space="preserve">nell’accettazione e nella tutela di situazioni di diversità, anche </w:t>
      </w:r>
      <w:r w:rsidRPr="0004152E">
        <w:rPr>
          <w:rFonts w:ascii="Times New Roman" w:eastAsia="Calibri" w:hAnsi="Times New Roman" w:cs="Times New Roman"/>
          <w:sz w:val="24"/>
          <w:szCs w:val="24"/>
          <w:u w:color="000000"/>
          <w:lang w:eastAsia="it-IT"/>
        </w:rPr>
        <w:t>«</w:t>
      </w:r>
      <w:r w:rsidRPr="0004152E">
        <w:rPr>
          <w:rFonts w:ascii="Times New Roman" w:eastAsia="Calibri" w:hAnsi="Times New Roman" w:cs="Calibri"/>
          <w:sz w:val="24"/>
          <w:szCs w:val="24"/>
          <w:u w:color="000000"/>
          <w:lang w:eastAsia="it-IT"/>
        </w:rPr>
        <w:t>minoritarie ed anomale</w:t>
      </w:r>
      <w:r w:rsidRPr="0004152E">
        <w:rPr>
          <w:rFonts w:ascii="Times New Roman" w:eastAsia="Calibri" w:hAnsi="Times New Roman" w:cs="Times New Roman"/>
          <w:sz w:val="24"/>
          <w:szCs w:val="24"/>
          <w:u w:color="000000"/>
          <w:lang w:eastAsia="it-IT"/>
        </w:rPr>
        <w:t>» (</w:t>
      </w:r>
      <w:hyperlink r:id="rId15" w:history="1">
        <w:r w:rsidRPr="0004152E">
          <w:rPr>
            <w:rFonts w:ascii="Times New Roman" w:eastAsia="Calibri" w:hAnsi="Times New Roman" w:cs="Times New Roman"/>
            <w:color w:val="0000FF"/>
            <w:sz w:val="24"/>
            <w:szCs w:val="24"/>
            <w:u w:val="single" w:color="000000"/>
            <w:lang w:eastAsia="it-IT"/>
          </w:rPr>
          <w:t>sentenza n. 161 del 1985</w:t>
        </w:r>
      </w:hyperlink>
      <w:r w:rsidRPr="0004152E">
        <w:rPr>
          <w:rFonts w:ascii="Times New Roman" w:eastAsia="Calibri" w:hAnsi="Times New Roman" w:cs="Times New Roman"/>
          <w:sz w:val="24"/>
          <w:szCs w:val="24"/>
          <w:u w:color="000000"/>
          <w:lang w:eastAsia="it-IT"/>
        </w:rPr>
        <w:t>)</w:t>
      </w:r>
      <w:r w:rsidRPr="0004152E">
        <w:rPr>
          <w:rFonts w:ascii="Times New Roman" w:eastAsia="Calibri" w:hAnsi="Times New Roman" w:cs="Calibri"/>
          <w:sz w:val="24"/>
          <w:szCs w:val="24"/>
          <w:u w:color="000000"/>
          <w:lang w:eastAsia="it-IT"/>
        </w:rPr>
        <w:t>;</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Calibri" w:hAnsi="Times New Roman" w:cs="Calibri"/>
          <w:sz w:val="24"/>
          <w:szCs w:val="24"/>
          <w:u w:color="000000"/>
          <w:lang w:eastAsia="it-IT"/>
        </w:rPr>
      </w:pPr>
      <w:r w:rsidRPr="0004152E">
        <w:rPr>
          <w:rFonts w:ascii="Times New Roman" w:eastAsia="Calibri" w:hAnsi="Times New Roman" w:cs="Calibri"/>
          <w:sz w:val="24"/>
          <w:szCs w:val="24"/>
          <w:u w:color="000000"/>
          <w:lang w:eastAsia="it-IT"/>
        </w:rPr>
        <w:t>che, a questo riguardo, va rilevato che le preoccupazioni del rimettente attengono a situazioni di fatto destinate a verificarsi a prescindere dalla disciplina della rettificazione anagrafica, la quale è volta a regolare una realtà che, prima ancora che nel diritto, esiste nella natura;</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Calibri" w:hAnsi="Times New Roman" w:cs="Calibri"/>
          <w:sz w:val="24"/>
          <w:szCs w:val="24"/>
          <w:u w:color="000000"/>
          <w:lang w:eastAsia="it-IT"/>
        </w:rPr>
      </w:pPr>
      <w:r w:rsidRPr="0004152E">
        <w:rPr>
          <w:rFonts w:ascii="Times New Roman" w:eastAsia="Calibri" w:hAnsi="Times New Roman" w:cs="Calibri"/>
          <w:sz w:val="24"/>
          <w:szCs w:val="24"/>
          <w:u w:color="000000"/>
          <w:lang w:eastAsia="it-IT"/>
        </w:rPr>
        <w:t xml:space="preserve">che, pertanto, le censure del rimettente in ordine alla prospettata lesione dei principi di cui agli artt. 2 e 3 </w:t>
      </w:r>
      <w:proofErr w:type="spellStart"/>
      <w:r w:rsidRPr="0004152E">
        <w:rPr>
          <w:rFonts w:ascii="Times New Roman" w:eastAsia="Calibri" w:hAnsi="Times New Roman" w:cs="Calibri"/>
          <w:sz w:val="24"/>
          <w:szCs w:val="24"/>
          <w:u w:color="000000"/>
          <w:lang w:eastAsia="it-IT"/>
        </w:rPr>
        <w:t>Cost</w:t>
      </w:r>
      <w:proofErr w:type="spellEnd"/>
      <w:r w:rsidRPr="0004152E">
        <w:rPr>
          <w:rFonts w:ascii="Times New Roman" w:eastAsia="Calibri" w:hAnsi="Times New Roman" w:cs="Calibri"/>
          <w:sz w:val="24"/>
          <w:szCs w:val="24"/>
          <w:u w:color="000000"/>
          <w:lang w:eastAsia="it-IT"/>
        </w:rPr>
        <w:t>. si rivelano manifestamente infondate.</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32"/>
        </w:tabs>
        <w:spacing w:line="360" w:lineRule="auto"/>
        <w:ind w:firstLine="567"/>
        <w:rPr>
          <w:rFonts w:ascii="Times New Roman" w:eastAsia="Times New Roman" w:hAnsi="Times New Roman" w:cs="Times New Roman"/>
          <w:color w:val="000000"/>
          <w:sz w:val="24"/>
          <w:szCs w:val="24"/>
          <w:u w:color="000000"/>
          <w:lang w:eastAsia="it-IT"/>
        </w:rPr>
      </w:pPr>
      <w:r w:rsidRPr="0004152E">
        <w:rPr>
          <w:rFonts w:ascii="Times New Roman" w:eastAsia="Calibri" w:hAnsi="Times New Roman" w:cs="Calibri"/>
          <w:sz w:val="24"/>
          <w:szCs w:val="24"/>
          <w:u w:color="000000"/>
          <w:lang w:eastAsia="it-IT"/>
        </w:rPr>
        <w:t>Visti gli artt. 26, secondo comma, della legge 11 marzo 1953, n. 87 e 9, comma 2, delle norme integrative per i giudizi davanti alla Corte costituzionale.</w:t>
      </w:r>
    </w:p>
    <w:p w:rsidR="0004152E" w:rsidRPr="0004152E" w:rsidRDefault="0004152E" w:rsidP="0004152E">
      <w:pPr>
        <w:spacing w:line="360" w:lineRule="auto"/>
        <w:jc w:val="center"/>
        <w:rPr>
          <w:rFonts w:ascii="Times New Roman" w:eastAsia="Times New Roman" w:hAnsi="Times New Roman"/>
          <w:smallCaps/>
          <w:sz w:val="24"/>
          <w:szCs w:val="24"/>
          <w:lang w:eastAsia="it-IT"/>
        </w:rPr>
      </w:pPr>
      <w:r w:rsidRPr="0004152E">
        <w:rPr>
          <w:rFonts w:ascii="Times New Roman" w:eastAsia="Times New Roman" w:hAnsi="Times New Roman"/>
          <w:smallCaps/>
          <w:sz w:val="24"/>
          <w:szCs w:val="24"/>
          <w:lang w:eastAsia="it-IT"/>
        </w:rPr>
        <w:t>per questi motivi</w:t>
      </w:r>
    </w:p>
    <w:p w:rsidR="0004152E" w:rsidRPr="0004152E" w:rsidRDefault="0004152E" w:rsidP="0004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sz w:val="24"/>
          <w:szCs w:val="24"/>
          <w:lang w:eastAsia="it-IT"/>
        </w:rPr>
      </w:pPr>
      <w:r w:rsidRPr="0004152E">
        <w:rPr>
          <w:rFonts w:ascii="Times New Roman" w:eastAsia="Times New Roman" w:hAnsi="Times New Roman"/>
          <w:sz w:val="24"/>
          <w:szCs w:val="24"/>
          <w:lang w:eastAsia="it-IT"/>
        </w:rPr>
        <w:t>LA CORTE COSTITUZIONALE</w:t>
      </w:r>
    </w:p>
    <w:p w:rsidR="0004152E" w:rsidRPr="0004152E" w:rsidRDefault="0004152E" w:rsidP="0004152E">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rPr>
          <w:rFonts w:ascii="Times New Roman" w:eastAsia="Times New Roman" w:hAnsi="Times New Roman"/>
          <w:sz w:val="24"/>
          <w:szCs w:val="24"/>
          <w:lang w:eastAsia="it-IT"/>
        </w:rPr>
      </w:pPr>
      <w:r w:rsidRPr="0004152E">
        <w:rPr>
          <w:rFonts w:ascii="Times New Roman" w:eastAsia="Times New Roman" w:hAnsi="Times New Roman"/>
          <w:i/>
          <w:sz w:val="24"/>
          <w:szCs w:val="24"/>
          <w:lang w:eastAsia="it-IT"/>
        </w:rPr>
        <w:t>dichiara</w:t>
      </w:r>
      <w:r w:rsidRPr="0004152E">
        <w:rPr>
          <w:rFonts w:ascii="Times New Roman" w:eastAsia="Times New Roman" w:hAnsi="Times New Roman"/>
          <w:sz w:val="24"/>
          <w:szCs w:val="24"/>
          <w:lang w:eastAsia="it-IT"/>
        </w:rPr>
        <w:t xml:space="preserve"> manifestamente infondata la questione di legittimità costituzionale dell’art. 1, comma 1, della legge 14 aprile 1982, n. 164 (Norme in materia di rettificazione di attribuzione di sesso), </w:t>
      </w:r>
      <w:r w:rsidRPr="0004152E">
        <w:rPr>
          <w:rFonts w:ascii="Times New Roman" w:eastAsia="Times New Roman" w:hAnsi="Times New Roman"/>
          <w:color w:val="000000"/>
          <w:sz w:val="24"/>
          <w:szCs w:val="24"/>
          <w:lang w:eastAsia="it-IT"/>
        </w:rPr>
        <w:t>sollevata</w:t>
      </w:r>
      <w:r w:rsidRPr="0004152E">
        <w:rPr>
          <w:rFonts w:ascii="Times New Roman" w:eastAsia="Times New Roman" w:hAnsi="Times New Roman"/>
          <w:sz w:val="24"/>
          <w:szCs w:val="24"/>
          <w:lang w:eastAsia="it-IT"/>
        </w:rPr>
        <w:t>, in riferimento agli artt. 2 e 3 della Costituzione, dal Tribunale ordinario di Avezzano, con l’ordinanza indicata in epigrafe.</w:t>
      </w:r>
    </w:p>
    <w:p w:rsidR="0004152E" w:rsidRPr="0004152E" w:rsidRDefault="0004152E" w:rsidP="0004152E">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rPr>
          <w:rFonts w:ascii="Times New Roman" w:eastAsia="Times New Roman" w:hAnsi="Times New Roman"/>
          <w:sz w:val="24"/>
          <w:szCs w:val="24"/>
          <w:lang w:eastAsia="it-IT"/>
        </w:rPr>
      </w:pPr>
      <w:r w:rsidRPr="0004152E">
        <w:rPr>
          <w:rFonts w:ascii="Times New Roman" w:eastAsia="Times New Roman" w:hAnsi="Times New Roman"/>
          <w:sz w:val="24"/>
          <w:szCs w:val="24"/>
          <w:lang w:eastAsia="it-IT"/>
        </w:rPr>
        <w:t>Così deciso in Roma, nella sede della Corte costituzionale, Palazzo della Consulta, il 21 giugno 2017.</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F.to:</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Paolo GROSSI, Presidente</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Giuliano AMATO, Redattore</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Roberto MILANA, Cancelliere</w:t>
      </w:r>
    </w:p>
    <w:p w:rsidR="0004152E" w:rsidRPr="0004152E" w:rsidRDefault="0004152E" w:rsidP="0004152E">
      <w:pPr>
        <w:widowControl w:val="0"/>
        <w:adjustRightInd w:val="0"/>
        <w:spacing w:line="360" w:lineRule="auto"/>
        <w:jc w:val="left"/>
        <w:rPr>
          <w:rFonts w:ascii="Times New Roman" w:eastAsia="Times New Roman" w:hAnsi="Times New Roman"/>
          <w:color w:val="000000"/>
          <w:sz w:val="24"/>
          <w:szCs w:val="24"/>
          <w:lang w:eastAsia="it-IT"/>
        </w:rPr>
      </w:pPr>
      <w:r w:rsidRPr="0004152E">
        <w:rPr>
          <w:rFonts w:ascii="Times New Roman" w:eastAsia="Times New Roman" w:hAnsi="Times New Roman"/>
          <w:color w:val="000000"/>
          <w:sz w:val="24"/>
          <w:szCs w:val="24"/>
          <w:lang w:eastAsia="it-IT"/>
        </w:rPr>
        <w:t>Depositata in Cancelleria il 13 luglio 2017.</w:t>
      </w:r>
    </w:p>
    <w:p w:rsidR="0004152E" w:rsidRPr="0004152E" w:rsidRDefault="0004152E" w:rsidP="0004152E">
      <w:pPr>
        <w:widowControl w:val="0"/>
        <w:adjustRightInd w:val="0"/>
        <w:spacing w:line="360" w:lineRule="auto"/>
        <w:ind w:firstLine="567"/>
        <w:jc w:val="left"/>
        <w:rPr>
          <w:rFonts w:ascii="Times New Roman" w:eastAsia="Times New Roman" w:hAnsi="Times New Roman" w:cs="Times New Roman"/>
          <w:color w:val="000000"/>
          <w:sz w:val="24"/>
          <w:szCs w:val="24"/>
          <w:lang w:eastAsia="it-IT"/>
        </w:rPr>
      </w:pPr>
    </w:p>
    <w:p w:rsidR="00A825BF" w:rsidRDefault="00A825BF">
      <w:bookmarkStart w:id="0" w:name="_GoBack"/>
      <w:bookmarkEnd w:id="0"/>
    </w:p>
    <w:sectPr w:rsidR="00A825B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52E"/>
    <w:rsid w:val="0004152E"/>
    <w:rsid w:val="00A825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04152E"/>
    <w:rPr>
      <w:color w:val="0000FF"/>
      <w:u w:val="single"/>
    </w:rPr>
  </w:style>
  <w:style w:type="paragraph" w:customStyle="1" w:styleId="Normale1">
    <w:name w:val="Normale1"/>
    <w:uiPriority w:val="99"/>
    <w:semiHidden/>
    <w:rsid w:val="0004152E"/>
    <w:pPr>
      <w:spacing w:line="360" w:lineRule="auto"/>
      <w:ind w:firstLine="567"/>
    </w:pPr>
    <w:rPr>
      <w:rFonts w:ascii="Calibri" w:eastAsia="Calibri" w:hAnsi="Calibri" w:cs="Times New Roman"/>
      <w:color w:val="000000"/>
      <w:u w:color="000000"/>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04152E"/>
    <w:rPr>
      <w:color w:val="0000FF"/>
      <w:u w:val="single"/>
    </w:rPr>
  </w:style>
  <w:style w:type="paragraph" w:customStyle="1" w:styleId="Normale1">
    <w:name w:val="Normale1"/>
    <w:uiPriority w:val="99"/>
    <w:semiHidden/>
    <w:rsid w:val="0004152E"/>
    <w:pPr>
      <w:spacing w:line="360" w:lineRule="auto"/>
      <w:ind w:firstLine="567"/>
    </w:pPr>
    <w:rPr>
      <w:rFonts w:ascii="Calibri" w:eastAsia="Calibri" w:hAnsi="Calibri" w:cs="Times New Roman"/>
      <w:color w:val="000000"/>
      <w:u w:color="00000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33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urcost.org/fonti/parametri/003.pdf" TargetMode="External"/><Relationship Id="rId13" Type="http://schemas.openxmlformats.org/officeDocument/2006/relationships/hyperlink" Target="http://www.giurcost.org/decisioni/2015/0221s-15.html" TargetMode="External"/><Relationship Id="rId3" Type="http://schemas.openxmlformats.org/officeDocument/2006/relationships/settings" Target="settings.xml"/><Relationship Id="rId7" Type="http://schemas.openxmlformats.org/officeDocument/2006/relationships/hyperlink" Target="http://www.giurcost.org/fonti/parametri/002.pdf" TargetMode="External"/><Relationship Id="rId12" Type="http://schemas.openxmlformats.org/officeDocument/2006/relationships/hyperlink" Target="http://www.giurcost.org/decisioni/1985/0161s-85.html"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gazzettaufficiale.it/eli/id/2017/04/26/17C00099/s1" TargetMode="External"/><Relationship Id="rId11" Type="http://schemas.openxmlformats.org/officeDocument/2006/relationships/hyperlink" Target="http://www.giurcost.org/decisioni/2015/0221s-15.html" TargetMode="External"/><Relationship Id="rId5" Type="http://schemas.openxmlformats.org/officeDocument/2006/relationships/hyperlink" Target="http://www.normattiva.it/uri-res/N2Ls?urn:nir:stato:legge:1982-04-14;164!vig=2017-01-11" TargetMode="External"/><Relationship Id="rId15" Type="http://schemas.openxmlformats.org/officeDocument/2006/relationships/hyperlink" Target="http://www.giurcost.org/decisioni/1985/0161s-85.html" TargetMode="External"/><Relationship Id="rId10" Type="http://schemas.openxmlformats.org/officeDocument/2006/relationships/hyperlink" Target="http://www.giurcost.org/decisioni/2015/0221s-15.html" TargetMode="External"/><Relationship Id="rId4" Type="http://schemas.openxmlformats.org/officeDocument/2006/relationships/webSettings" Target="webSettings.xml"/><Relationship Id="rId9" Type="http://schemas.openxmlformats.org/officeDocument/2006/relationships/hyperlink" Target="http://www.giurcost.org/decisioni/2015/0221s-15.html" TargetMode="External"/><Relationship Id="rId14" Type="http://schemas.openxmlformats.org/officeDocument/2006/relationships/hyperlink" Target="http://www.giurcost.org/decisioni/2015/0221s-15.htm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2351</Words>
  <Characters>13402</Characters>
  <Application>Microsoft Office Word</Application>
  <DocSecurity>0</DocSecurity>
  <Lines>111</Lines>
  <Paragraphs>31</Paragraphs>
  <ScaleCrop>false</ScaleCrop>
  <Company>Hewlett-Packard Company</Company>
  <LinksUpToDate>false</LinksUpToDate>
  <CharactersWithSpaces>15722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Viola</dc:creator>
  <cp:lastModifiedBy>Maria Teresa Viola</cp:lastModifiedBy>
  <cp:revision>1</cp:revision>
  <dcterms:created xsi:type="dcterms:W3CDTF">2017-07-17T15:41:00Z</dcterms:created>
  <dcterms:modified xsi:type="dcterms:W3CDTF">2017-07-17T15:42:00Z</dcterms:modified>
</cp:coreProperties>
</file>